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6"/>
        </w:tabs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tabs>
          <w:tab w:val="left" w:pos="3451"/>
        </w:tabs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严厉打击肉类产品违法犯罪</w:t>
      </w:r>
    </w:p>
    <w:p>
      <w:pPr>
        <w:tabs>
          <w:tab w:val="left" w:pos="3451"/>
        </w:tabs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专项整治行动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成果清单</w:t>
      </w:r>
      <w:bookmarkEnd w:id="0"/>
    </w:p>
    <w:p>
      <w:pPr>
        <w:tabs>
          <w:tab w:val="left" w:pos="3451"/>
        </w:tabs>
        <w:bidi w:val="0"/>
        <w:spacing w:line="600" w:lineRule="exact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填报单位：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eastAsia="楷体" w:cs="Times New Roman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                   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填报日期</w:t>
      </w:r>
      <w:r>
        <w:rPr>
          <w:rFonts w:hint="eastAsia" w:eastAsia="楷体" w:cs="Times New Roman"/>
          <w:sz w:val="24"/>
          <w:szCs w:val="24"/>
          <w:lang w:val="en-US" w:eastAsia="zh-CN"/>
        </w:rPr>
        <w:t>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545"/>
        <w:gridCol w:w="535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center"/>
              <w:rPr>
                <w:rFonts w:hint="default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强化</w:t>
            </w:r>
          </w:p>
          <w:p>
            <w:pPr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监管执法</w:t>
            </w: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接受举报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（起）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查实举报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行政执法立案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涉案物品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涉案货值（万元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罚没金额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曝光案件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追究责任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移送涉嫌犯罪案件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捣毁私屠滥宰窝点案件（件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捣毁私屠滥宰窝点涉案肉品（吨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打击注水注药违法案件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打击注水注药违法涉案肉品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44"/>
                <w:szCs w:val="36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打击使用“瘦肉精”违法案件（件）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tabs>
                <w:tab w:val="left" w:pos="5129"/>
              </w:tabs>
              <w:bidi w:val="0"/>
              <w:jc w:val="left"/>
              <w:rPr>
                <w:rFonts w:hint="eastAsia" w:cs="Times New Roman"/>
                <w:color w:val="000000"/>
                <w:sz w:val="44"/>
                <w:szCs w:val="36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打击使用“瘦肉精”涉案肉品（吨）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打击加工病死畜禽肉类违法案件（件）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打击加工病死畜禽肉类涉案肉品（吨）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打击来源不明、未经检疫或检疫不合格肉品案件（件）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打击来源不明、未经检疫或检疫不合格涉案肉品（吨）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bidi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强化</w:t>
            </w:r>
          </w:p>
          <w:p>
            <w:pPr>
              <w:bidi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监管执法</w:t>
            </w: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打击假冒牛（羊、驴）肉制品违法案件（件）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打击假冒牛（羊、驴）肉制品涉案肉品（吨）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公安机关刑事立案（起）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公安机关抓获犯罪嫌疑人（人）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加强制度</w:t>
            </w:r>
          </w:p>
          <w:p>
            <w:pPr>
              <w:bidi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机制建设</w:t>
            </w: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市层面出台落实专项行动有关文件（个）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提升</w:t>
            </w:r>
          </w:p>
          <w:p>
            <w:pPr>
              <w:bidi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宣传实效</w:t>
            </w: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开展重点宣传活动（次）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曝光违法企业（家）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曝光典型案例（个）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3" w:type="dxa"/>
            <w:noWrap w:val="0"/>
            <w:vAlign w:val="center"/>
          </w:tcPr>
          <w:p>
            <w:pPr>
              <w:bidi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  <w:vertAlign w:val="baseline"/>
                <w:lang w:val="en-US" w:eastAsia="zh-CN"/>
              </w:rPr>
              <w:t>制作手册、海报、图解、视频等宣传产品（个）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bidi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52CD"/>
    <w:rsid w:val="7EF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44"/>
      <w:szCs w:val="36"/>
      <w:lang w:val="en-US" w:eastAsia="en-US" w:bidi="en-US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outlineLvl w:val="2"/>
    </w:pPr>
    <w:rPr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2024-06-04T07:57:00Z</dcterms:created>
  <dc:creator>王永</dc:creator>
  <cp:lastModifiedBy>王永</cp:lastModifiedBy>
  <dcterms:modified xsi:type="dcterms:W3CDTF">2024-06-04T07:57:54Z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