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连山壮族瑶族自治县水利局双随机抽查事项清单</w:t>
      </w:r>
    </w:p>
    <w:tbl>
      <w:tblPr>
        <w:tblStyle w:val="5"/>
        <w:tblW w:w="8901"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1"/>
        <w:gridCol w:w="389"/>
        <w:gridCol w:w="957"/>
        <w:gridCol w:w="2778"/>
        <w:gridCol w:w="363"/>
        <w:gridCol w:w="1422"/>
        <w:gridCol w:w="798"/>
        <w:gridCol w:w="648"/>
        <w:gridCol w:w="575"/>
        <w:gridCol w:w="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vMerge w:val="restart"/>
            <w:shd w:val="clear" w:color="auto" w:fill="auto"/>
            <w:vAlign w:val="center"/>
          </w:tcPr>
          <w:p>
            <w:r>
              <w:rPr>
                <w:rFonts w:hint="eastAsia"/>
              </w:rPr>
              <w:t>序号</w:t>
            </w:r>
          </w:p>
        </w:tc>
        <w:tc>
          <w:tcPr>
            <w:tcW w:w="359" w:type="dxa"/>
            <w:vMerge w:val="restart"/>
            <w:shd w:val="clear" w:color="auto" w:fill="auto"/>
            <w:vAlign w:val="center"/>
          </w:tcPr>
          <w:p>
            <w:r>
              <w:rPr>
                <w:rFonts w:hint="eastAsia"/>
              </w:rPr>
              <w:t>事项类别</w:t>
            </w:r>
          </w:p>
        </w:tc>
        <w:tc>
          <w:tcPr>
            <w:tcW w:w="927" w:type="dxa"/>
            <w:vMerge w:val="restart"/>
            <w:shd w:val="clear" w:color="auto" w:fill="auto"/>
            <w:vAlign w:val="center"/>
          </w:tcPr>
          <w:p>
            <w:r>
              <w:rPr>
                <w:rFonts w:hint="eastAsia"/>
              </w:rPr>
              <w:t>抽查事项</w:t>
            </w:r>
          </w:p>
        </w:tc>
        <w:tc>
          <w:tcPr>
            <w:tcW w:w="2748" w:type="dxa"/>
            <w:vMerge w:val="restart"/>
            <w:shd w:val="clear" w:color="auto" w:fill="auto"/>
            <w:vAlign w:val="center"/>
          </w:tcPr>
          <w:p>
            <w:r>
              <w:rPr>
                <w:rFonts w:hint="eastAsia"/>
              </w:rPr>
              <w:t>抽查依据</w:t>
            </w:r>
          </w:p>
        </w:tc>
        <w:tc>
          <w:tcPr>
            <w:tcW w:w="333" w:type="dxa"/>
            <w:vMerge w:val="restart"/>
            <w:shd w:val="clear" w:color="auto" w:fill="auto"/>
            <w:vAlign w:val="center"/>
          </w:tcPr>
          <w:p>
            <w:r>
              <w:rPr>
                <w:rFonts w:hint="eastAsia"/>
              </w:rPr>
              <w:t>抽查对象</w:t>
            </w:r>
          </w:p>
        </w:tc>
        <w:tc>
          <w:tcPr>
            <w:tcW w:w="1392" w:type="dxa"/>
            <w:vMerge w:val="restart"/>
            <w:shd w:val="clear" w:color="auto" w:fill="auto"/>
            <w:vAlign w:val="center"/>
          </w:tcPr>
          <w:p>
            <w:r>
              <w:rPr>
                <w:rFonts w:hint="eastAsia"/>
              </w:rPr>
              <w:t>抽查内容</w:t>
            </w:r>
          </w:p>
        </w:tc>
        <w:tc>
          <w:tcPr>
            <w:tcW w:w="768" w:type="dxa"/>
            <w:vMerge w:val="restart"/>
            <w:shd w:val="clear" w:color="auto" w:fill="auto"/>
            <w:vAlign w:val="center"/>
          </w:tcPr>
          <w:p>
            <w:r>
              <w:rPr>
                <w:rFonts w:hint="eastAsia"/>
              </w:rPr>
              <w:t>抽查方式</w:t>
            </w:r>
          </w:p>
        </w:tc>
        <w:tc>
          <w:tcPr>
            <w:tcW w:w="618" w:type="dxa"/>
            <w:shd w:val="clear" w:color="auto" w:fill="auto"/>
            <w:vAlign w:val="center"/>
          </w:tcPr>
          <w:p>
            <w:r>
              <w:rPr>
                <w:rFonts w:hint="eastAsia"/>
              </w:rPr>
              <w:t>抽查比例</w:t>
            </w:r>
          </w:p>
        </w:tc>
        <w:tc>
          <w:tcPr>
            <w:tcW w:w="545" w:type="dxa"/>
            <w:shd w:val="clear" w:color="auto" w:fill="auto"/>
            <w:vAlign w:val="center"/>
          </w:tcPr>
          <w:p>
            <w:r>
              <w:rPr>
                <w:rFonts w:hint="eastAsia"/>
              </w:rPr>
              <w:t>抽查频次</w:t>
            </w:r>
          </w:p>
        </w:tc>
        <w:tc>
          <w:tcPr>
            <w:tcW w:w="625" w:type="dxa"/>
            <w:vMerge w:val="restart"/>
            <w:shd w:val="clear" w:color="auto" w:fill="auto"/>
            <w:vAlign w:val="center"/>
          </w:tcPr>
          <w:p>
            <w:r>
              <w:rPr>
                <w:rFonts w:hint="eastAsia"/>
              </w:rPr>
              <w:t>责任单位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vMerge w:val="continue"/>
            <w:shd w:val="clear" w:color="auto" w:fill="auto"/>
            <w:vAlign w:val="center"/>
          </w:tcPr>
          <w:p>
            <w:pPr>
              <w:rPr>
                <w:rFonts w:hint="eastAsia"/>
              </w:rPr>
            </w:pPr>
          </w:p>
        </w:tc>
        <w:tc>
          <w:tcPr>
            <w:tcW w:w="359" w:type="dxa"/>
            <w:vMerge w:val="continue"/>
            <w:shd w:val="clear" w:color="auto" w:fill="auto"/>
            <w:vAlign w:val="center"/>
          </w:tcPr>
          <w:p>
            <w:pPr>
              <w:rPr>
                <w:rFonts w:hint="eastAsia"/>
              </w:rPr>
            </w:pPr>
          </w:p>
        </w:tc>
        <w:tc>
          <w:tcPr>
            <w:tcW w:w="927" w:type="dxa"/>
            <w:vMerge w:val="continue"/>
            <w:shd w:val="clear" w:color="auto" w:fill="auto"/>
            <w:vAlign w:val="center"/>
          </w:tcPr>
          <w:p>
            <w:pPr>
              <w:rPr>
                <w:rFonts w:hint="eastAsia"/>
              </w:rPr>
            </w:pPr>
          </w:p>
        </w:tc>
        <w:tc>
          <w:tcPr>
            <w:tcW w:w="2748" w:type="dxa"/>
            <w:vMerge w:val="continue"/>
            <w:shd w:val="clear" w:color="auto" w:fill="auto"/>
            <w:vAlign w:val="center"/>
          </w:tcPr>
          <w:p>
            <w:pPr>
              <w:rPr>
                <w:rFonts w:hint="eastAsia"/>
              </w:rPr>
            </w:pPr>
          </w:p>
        </w:tc>
        <w:tc>
          <w:tcPr>
            <w:tcW w:w="333" w:type="dxa"/>
            <w:vMerge w:val="continue"/>
            <w:shd w:val="clear" w:color="auto" w:fill="auto"/>
            <w:vAlign w:val="center"/>
          </w:tcPr>
          <w:p>
            <w:pPr>
              <w:rPr>
                <w:rFonts w:hint="eastAsia"/>
              </w:rPr>
            </w:pPr>
          </w:p>
        </w:tc>
        <w:tc>
          <w:tcPr>
            <w:tcW w:w="1392" w:type="dxa"/>
            <w:vMerge w:val="continue"/>
            <w:shd w:val="clear" w:color="auto" w:fill="auto"/>
            <w:vAlign w:val="center"/>
          </w:tcPr>
          <w:p>
            <w:pPr>
              <w:rPr>
                <w:rFonts w:hint="eastAsia"/>
              </w:rPr>
            </w:pPr>
          </w:p>
        </w:tc>
        <w:tc>
          <w:tcPr>
            <w:tcW w:w="768" w:type="dxa"/>
            <w:vMerge w:val="continue"/>
            <w:shd w:val="clear" w:color="auto" w:fill="auto"/>
            <w:vAlign w:val="center"/>
          </w:tcPr>
          <w:p>
            <w:pPr>
              <w:rPr>
                <w:rFonts w:hint="eastAsia"/>
              </w:rPr>
            </w:pPr>
          </w:p>
        </w:tc>
        <w:tc>
          <w:tcPr>
            <w:tcW w:w="618" w:type="dxa"/>
            <w:shd w:val="clear" w:color="auto" w:fill="auto"/>
            <w:vAlign w:val="center"/>
          </w:tcPr>
          <w:p>
            <w:r>
              <w:rPr>
                <w:rFonts w:hint="eastAsia"/>
              </w:rPr>
              <w:t>（%）</w:t>
            </w:r>
          </w:p>
        </w:tc>
        <w:tc>
          <w:tcPr>
            <w:tcW w:w="545" w:type="dxa"/>
            <w:shd w:val="clear" w:color="auto" w:fill="auto"/>
            <w:vAlign w:val="center"/>
          </w:tcPr>
          <w:p>
            <w:r>
              <w:rPr>
                <w:rFonts w:hint="eastAsia"/>
              </w:rPr>
              <w:t>（次/年）</w:t>
            </w:r>
          </w:p>
        </w:tc>
        <w:tc>
          <w:tcPr>
            <w:tcW w:w="625" w:type="dxa"/>
            <w:vMerge w:val="continue"/>
            <w:shd w:val="clear" w:color="auto" w:fill="auto"/>
            <w:vAlign w:val="center"/>
          </w:tcPr>
          <w:p>
            <w:pPr>
              <w:rPr>
                <w:rFonts w:hint="eastAsia"/>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1</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水利工程管理和保护范围内新建、扩建、改建的工程建设项目方案审批</w:t>
            </w:r>
          </w:p>
        </w:tc>
        <w:tc>
          <w:tcPr>
            <w:tcW w:w="2748" w:type="dxa"/>
            <w:shd w:val="clear" w:color="auto" w:fill="auto"/>
            <w:vAlign w:val="center"/>
          </w:tcPr>
          <w:p>
            <w:r>
              <w:rPr>
                <w:rFonts w:hint="eastAsia"/>
              </w:rPr>
              <w:t>1.《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r>
              <w:rPr>
                <w:rFonts w:hint="eastAsia"/>
              </w:rPr>
              <w:br w:type="textWrapping"/>
            </w:r>
            <w:r>
              <w:rPr>
                <w:rFonts w:hint="eastAsia"/>
              </w:rPr>
              <w:t>2.《广东省水利工程管理条例》（2014年修正）第二十一条：在水利工程管理范围和保护范围内新建、扩建和改建的各类建设项目，其可行性研究报告在按照国家和省规定的基本建设程序报请批准前，其中的工程建设方案应当经水行政主管部门审查同意。在通航水域的，应当征得交通行政主管部门同意。需要占用土地的，在水行政主管部门对该工程设施的位置和界限审查批准后，建设单位方可依法办理用地、开工手续，工程施工应当接受水行政主管部门的检查监督，竣工验收应当有水行政主管部门参加。</w:t>
            </w:r>
          </w:p>
        </w:tc>
        <w:tc>
          <w:tcPr>
            <w:tcW w:w="333" w:type="dxa"/>
            <w:shd w:val="clear" w:color="auto" w:fill="auto"/>
            <w:vAlign w:val="center"/>
          </w:tcPr>
          <w:p>
            <w:r>
              <w:rPr>
                <w:rFonts w:hint="eastAsia"/>
              </w:rPr>
              <w:t>被许可人</w:t>
            </w:r>
          </w:p>
        </w:tc>
        <w:tc>
          <w:tcPr>
            <w:tcW w:w="1392" w:type="dxa"/>
            <w:shd w:val="clear" w:color="auto" w:fill="auto"/>
            <w:vAlign w:val="center"/>
          </w:tcPr>
          <w:p>
            <w:r>
              <w:rPr>
                <w:rFonts w:hint="eastAsia"/>
              </w:rPr>
              <w:t>主要包括是否按照批准的建设方案进行建设；工程防护和补救措施的落实情况；其他违反水利相关法律法规及影响行洪、堤防安全的有关问题。</w:t>
            </w:r>
          </w:p>
        </w:tc>
        <w:tc>
          <w:tcPr>
            <w:tcW w:w="768" w:type="dxa"/>
            <w:shd w:val="clear" w:color="auto" w:fill="auto"/>
            <w:vAlign w:val="center"/>
          </w:tcPr>
          <w:p>
            <w:r>
              <w:rPr>
                <w:rFonts w:hint="eastAsia"/>
              </w:rPr>
              <w:t>现场检查或书面检查</w:t>
            </w:r>
          </w:p>
        </w:tc>
        <w:tc>
          <w:tcPr>
            <w:tcW w:w="618" w:type="dxa"/>
            <w:shd w:val="clear" w:color="auto" w:fill="auto"/>
            <w:vAlign w:val="center"/>
          </w:tcPr>
          <w:p>
            <w:r>
              <w:rPr>
                <w:rFonts w:hint="eastAsia"/>
              </w:rPr>
              <w:t>20%</w:t>
            </w:r>
          </w:p>
        </w:tc>
        <w:tc>
          <w:tcPr>
            <w:tcW w:w="545" w:type="dxa"/>
            <w:shd w:val="clear" w:color="auto" w:fill="auto"/>
            <w:vAlign w:val="center"/>
          </w:tcPr>
          <w:p>
            <w:r>
              <w:rPr>
                <w:rFonts w:hint="eastAsia"/>
              </w:rPr>
              <w:t>2次/年</w:t>
            </w:r>
          </w:p>
        </w:tc>
        <w:tc>
          <w:tcPr>
            <w:tcW w:w="625" w:type="dxa"/>
            <w:shd w:val="clear" w:color="auto" w:fill="auto"/>
            <w:vAlign w:val="center"/>
          </w:tcPr>
          <w:p>
            <w:r>
              <w:rPr>
                <w:rFonts w:hint="eastAsia"/>
              </w:rPr>
              <w:t>建设管理股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2</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水利工程初步设计文件审批</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被许可人</w:t>
            </w:r>
          </w:p>
        </w:tc>
        <w:tc>
          <w:tcPr>
            <w:tcW w:w="1392" w:type="dxa"/>
            <w:shd w:val="clear" w:color="auto" w:fill="auto"/>
            <w:vAlign w:val="center"/>
          </w:tcPr>
          <w:p>
            <w:r>
              <w:rPr>
                <w:rFonts w:hint="eastAsia"/>
              </w:rPr>
              <w:t>1.设计单位是否按批复的初步设计报告进行施工图设计；</w:t>
            </w:r>
            <w:r>
              <w:rPr>
                <w:rFonts w:hint="eastAsia"/>
              </w:rPr>
              <w:br w:type="textWrapping"/>
            </w:r>
            <w:r>
              <w:rPr>
                <w:rFonts w:hint="eastAsia"/>
              </w:rPr>
              <w:t>2.前期工作程序是否符合国家和省的有关规定；</w:t>
            </w:r>
            <w:r>
              <w:rPr>
                <w:rFonts w:hint="eastAsia"/>
              </w:rPr>
              <w:br w:type="textWrapping"/>
            </w:r>
            <w:r>
              <w:rPr>
                <w:rFonts w:hint="eastAsia"/>
              </w:rPr>
              <w:t>3.工程建设管理情况、资金使用情况、安全生产管理情况是否合法合规；涉及度汛任务的工程，其度汛方案制定和执行情况。</w:t>
            </w:r>
          </w:p>
        </w:tc>
        <w:tc>
          <w:tcPr>
            <w:tcW w:w="768" w:type="dxa"/>
            <w:shd w:val="clear" w:color="auto" w:fill="auto"/>
            <w:vAlign w:val="center"/>
          </w:tcPr>
          <w:p>
            <w:r>
              <w:rPr>
                <w:rFonts w:hint="eastAsia"/>
              </w:rPr>
              <w:t>现场检查或书面检查</w:t>
            </w:r>
          </w:p>
        </w:tc>
        <w:tc>
          <w:tcPr>
            <w:tcW w:w="618" w:type="dxa"/>
            <w:shd w:val="clear" w:color="auto" w:fill="auto"/>
            <w:vAlign w:val="center"/>
          </w:tcPr>
          <w:p>
            <w:r>
              <w:rPr>
                <w:rFonts w:hint="eastAsia"/>
              </w:rPr>
              <w:t>20%</w:t>
            </w:r>
          </w:p>
        </w:tc>
        <w:tc>
          <w:tcPr>
            <w:tcW w:w="545" w:type="dxa"/>
            <w:shd w:val="clear" w:color="auto" w:fill="auto"/>
            <w:vAlign w:val="center"/>
          </w:tcPr>
          <w:p>
            <w:r>
              <w:rPr>
                <w:rFonts w:hint="eastAsia"/>
              </w:rPr>
              <w:t>1次/年可视情况而定</w:t>
            </w:r>
          </w:p>
        </w:tc>
        <w:tc>
          <w:tcPr>
            <w:tcW w:w="625" w:type="dxa"/>
            <w:shd w:val="clear" w:color="auto" w:fill="auto"/>
            <w:vAlign w:val="center"/>
          </w:tcPr>
          <w:p>
            <w:r>
              <w:rPr>
                <w:rFonts w:hint="eastAsia"/>
              </w:rPr>
              <w:t>建设管理股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3</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水利工程管理范围内的生产经营活动审批</w:t>
            </w:r>
          </w:p>
        </w:tc>
        <w:tc>
          <w:tcPr>
            <w:tcW w:w="2748" w:type="dxa"/>
            <w:shd w:val="clear" w:color="auto" w:fill="auto"/>
            <w:vAlign w:val="center"/>
          </w:tcPr>
          <w:p>
            <w:r>
              <w:rPr>
                <w:rFonts w:hint="eastAsia"/>
              </w:rPr>
              <w:t>《行政许可法》第十条第二款：行政</w:t>
            </w:r>
            <w:bookmarkStart w:id="0" w:name="_GoBack"/>
            <w:bookmarkEnd w:id="0"/>
            <w:r>
              <w:rPr>
                <w:rFonts w:hint="eastAsia"/>
              </w:rPr>
              <w:t>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被许可人</w:t>
            </w:r>
          </w:p>
        </w:tc>
        <w:tc>
          <w:tcPr>
            <w:tcW w:w="1392" w:type="dxa"/>
            <w:shd w:val="clear" w:color="auto" w:fill="auto"/>
            <w:vAlign w:val="center"/>
          </w:tcPr>
          <w:p>
            <w:r>
              <w:rPr>
                <w:rFonts w:hint="eastAsia"/>
              </w:rPr>
              <w:t>主要包括是否按照批准的方案进行活动；工程防护和补救措施的落实情况；其他违反水利相关法律法规及影响行洪、堤防安全的有关问题。</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20%</w:t>
            </w:r>
          </w:p>
        </w:tc>
        <w:tc>
          <w:tcPr>
            <w:tcW w:w="545" w:type="dxa"/>
            <w:shd w:val="clear" w:color="auto" w:fill="auto"/>
            <w:vAlign w:val="center"/>
          </w:tcPr>
          <w:p>
            <w:r>
              <w:rPr>
                <w:rFonts w:hint="eastAsia"/>
              </w:rPr>
              <w:t>2次/年</w:t>
            </w:r>
          </w:p>
        </w:tc>
        <w:tc>
          <w:tcPr>
            <w:tcW w:w="625" w:type="dxa"/>
            <w:shd w:val="clear" w:color="auto" w:fill="auto"/>
            <w:vAlign w:val="center"/>
          </w:tcPr>
          <w:p>
            <w:r>
              <w:rPr>
                <w:rFonts w:hint="eastAsia"/>
              </w:rPr>
              <w:t>建设管理股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4</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河道管理范围内有关活动（含临时占用）审批</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被许可人</w:t>
            </w:r>
          </w:p>
        </w:tc>
        <w:tc>
          <w:tcPr>
            <w:tcW w:w="1392" w:type="dxa"/>
            <w:shd w:val="clear" w:color="auto" w:fill="auto"/>
            <w:vAlign w:val="center"/>
          </w:tcPr>
          <w:p>
            <w:r>
              <w:rPr>
                <w:rFonts w:hint="eastAsia"/>
              </w:rPr>
              <w:t>主要包括是否按照批准的方案进行活动；工程防护和补救措施的落实情况；其他违反水利相关法律法规及影响行洪、堤防安全的有关问题。</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20%</w:t>
            </w:r>
          </w:p>
        </w:tc>
        <w:tc>
          <w:tcPr>
            <w:tcW w:w="545" w:type="dxa"/>
            <w:shd w:val="clear" w:color="auto" w:fill="auto"/>
            <w:vAlign w:val="center"/>
          </w:tcPr>
          <w:p>
            <w:r>
              <w:rPr>
                <w:rFonts w:hint="eastAsia"/>
              </w:rPr>
              <w:t>2次/年</w:t>
            </w:r>
          </w:p>
        </w:tc>
        <w:tc>
          <w:tcPr>
            <w:tcW w:w="625" w:type="dxa"/>
            <w:shd w:val="clear" w:color="auto" w:fill="auto"/>
            <w:vAlign w:val="center"/>
          </w:tcPr>
          <w:p>
            <w:r>
              <w:rPr>
                <w:rFonts w:hint="eastAsia"/>
              </w:rPr>
              <w:t>建设管理股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5</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滩涂开发利用工程建设方案审核</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2.《广东省实施〈中华人民共和国水法〉办法》第五十二条：县级以上人民政府水行政主管部门应当建立监督检查制度，对其决定的行政许可事项的实施情况依法进行监督检查。</w:t>
            </w:r>
            <w:r>
              <w:rPr>
                <w:rFonts w:hint="eastAsia"/>
              </w:rPr>
              <w:br w:type="textWrapping"/>
            </w:r>
            <w:r>
              <w:rPr>
                <w:rFonts w:hint="eastAsia"/>
              </w:rPr>
              <w:t>3.《广东省河口滩涂管理条例》第十九条：水行政主管部门应当对河口滩涂开发利用项目施工情况进行检查，被检查单位和个人应当如实提供有关情况。对未按批准的位置和界限进行施工的，水行政主管部门应当责令其限期改正。</w:t>
            </w:r>
          </w:p>
        </w:tc>
        <w:tc>
          <w:tcPr>
            <w:tcW w:w="333" w:type="dxa"/>
            <w:shd w:val="clear" w:color="auto" w:fill="auto"/>
            <w:vAlign w:val="center"/>
          </w:tcPr>
          <w:p>
            <w:r>
              <w:rPr>
                <w:rFonts w:hint="eastAsia"/>
              </w:rPr>
              <w:t>被许可人</w:t>
            </w:r>
          </w:p>
        </w:tc>
        <w:tc>
          <w:tcPr>
            <w:tcW w:w="1392" w:type="dxa"/>
            <w:shd w:val="clear" w:color="auto" w:fill="auto"/>
            <w:vAlign w:val="center"/>
          </w:tcPr>
          <w:p>
            <w:r>
              <w:rPr>
                <w:rFonts w:hint="eastAsia"/>
              </w:rPr>
              <w:t>主要包括是否按照批准的方案进行活动；工程防护和补救措施的落实情况；其他违反水利相关法律法规及影响行洪、堤防安全的有关问题。</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20%</w:t>
            </w:r>
          </w:p>
        </w:tc>
        <w:tc>
          <w:tcPr>
            <w:tcW w:w="545" w:type="dxa"/>
            <w:shd w:val="clear" w:color="auto" w:fill="auto"/>
            <w:vAlign w:val="center"/>
          </w:tcPr>
          <w:p>
            <w:r>
              <w:rPr>
                <w:rFonts w:hint="eastAsia"/>
              </w:rPr>
              <w:t>2次/年</w:t>
            </w:r>
          </w:p>
        </w:tc>
        <w:tc>
          <w:tcPr>
            <w:tcW w:w="625" w:type="dxa"/>
            <w:shd w:val="clear" w:color="auto" w:fill="auto"/>
            <w:vAlign w:val="center"/>
          </w:tcPr>
          <w:p>
            <w:r>
              <w:rPr>
                <w:rFonts w:hint="eastAsia"/>
              </w:rPr>
              <w:t>建设管理股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6</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迁移、损坏水利工程设施，占用影响农业灌溉水源、灌排工程设施审批</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被许可人</w:t>
            </w:r>
          </w:p>
        </w:tc>
        <w:tc>
          <w:tcPr>
            <w:tcW w:w="1392" w:type="dxa"/>
            <w:shd w:val="clear" w:color="auto" w:fill="auto"/>
            <w:vAlign w:val="center"/>
          </w:tcPr>
          <w:p>
            <w:r>
              <w:rPr>
                <w:rFonts w:hint="eastAsia"/>
              </w:rPr>
              <w:t>检查是否按照批准的内容实施。</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20%</w:t>
            </w:r>
          </w:p>
        </w:tc>
        <w:tc>
          <w:tcPr>
            <w:tcW w:w="545" w:type="dxa"/>
            <w:shd w:val="clear" w:color="auto" w:fill="auto"/>
            <w:vAlign w:val="center"/>
          </w:tcPr>
          <w:p>
            <w:r>
              <w:rPr>
                <w:rFonts w:hint="eastAsia"/>
              </w:rPr>
              <w:t>1次/年</w:t>
            </w:r>
          </w:p>
        </w:tc>
        <w:tc>
          <w:tcPr>
            <w:tcW w:w="625" w:type="dxa"/>
            <w:shd w:val="clear" w:color="auto" w:fill="auto"/>
            <w:vAlign w:val="center"/>
          </w:tcPr>
          <w:p>
            <w:r>
              <w:rPr>
                <w:rFonts w:hint="eastAsia"/>
              </w:rPr>
              <w:t>建设管理股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7</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生产建设项目水土保持方案审批</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w:t>
            </w:r>
          </w:p>
        </w:tc>
        <w:tc>
          <w:tcPr>
            <w:tcW w:w="1392" w:type="dxa"/>
            <w:shd w:val="clear" w:color="auto" w:fill="auto"/>
            <w:vAlign w:val="center"/>
          </w:tcPr>
          <w:p>
            <w:r>
              <w:rPr>
                <w:rFonts w:hint="eastAsia"/>
              </w:rPr>
              <w:t>1、水土保持工作的组织领导、日常工作管理、防治责任分解落实情况</w:t>
            </w:r>
            <w:r>
              <w:rPr>
                <w:rFonts w:hint="eastAsia"/>
              </w:rPr>
              <w:br w:type="textWrapping"/>
            </w:r>
            <w:r>
              <w:rPr>
                <w:rFonts w:hint="eastAsia"/>
              </w:rPr>
              <w:t>2.水土保持工程后续设计情况；</w:t>
            </w:r>
            <w:r>
              <w:rPr>
                <w:rFonts w:hint="eastAsia"/>
              </w:rPr>
              <w:br w:type="textWrapping"/>
            </w:r>
            <w:r>
              <w:rPr>
                <w:rFonts w:hint="eastAsia"/>
              </w:rPr>
              <w:t>3.各项水土保持措施落实情况；</w:t>
            </w:r>
            <w:r>
              <w:rPr>
                <w:rFonts w:hint="eastAsia"/>
              </w:rPr>
              <w:br w:type="textWrapping"/>
            </w:r>
            <w:r>
              <w:rPr>
                <w:rFonts w:hint="eastAsia"/>
              </w:rPr>
              <w:t>4.违法违规堆放弃土弃渣及水土保持方案变更情况；</w:t>
            </w:r>
            <w:r>
              <w:rPr>
                <w:rFonts w:hint="eastAsia"/>
              </w:rPr>
              <w:br w:type="textWrapping"/>
            </w:r>
            <w:r>
              <w:rPr>
                <w:rFonts w:hint="eastAsia"/>
              </w:rPr>
              <w:t>5.水土保持监测、监理开展情况；</w:t>
            </w:r>
            <w:r>
              <w:rPr>
                <w:rFonts w:hint="eastAsia"/>
              </w:rPr>
              <w:br w:type="textWrapping"/>
            </w:r>
            <w:r>
              <w:rPr>
                <w:rFonts w:hint="eastAsia"/>
              </w:rPr>
              <w:t>6.水土保持补偿费缴纳情况；</w:t>
            </w:r>
            <w:r>
              <w:rPr>
                <w:rFonts w:hint="eastAsia"/>
              </w:rPr>
              <w:br w:type="textWrapping"/>
            </w:r>
            <w:r>
              <w:rPr>
                <w:rFonts w:hint="eastAsia"/>
              </w:rPr>
              <w:t>7.水行政主管部门历次检查整改意见落实情况等；</w:t>
            </w:r>
            <w:r>
              <w:rPr>
                <w:rFonts w:hint="eastAsia"/>
              </w:rPr>
              <w:br w:type="textWrapping"/>
            </w:r>
            <w:r>
              <w:rPr>
                <w:rFonts w:hint="eastAsia"/>
              </w:rPr>
              <w:t>8.水土保持分部工程和单元工程的自查初验情况。</w:t>
            </w:r>
          </w:p>
        </w:tc>
        <w:tc>
          <w:tcPr>
            <w:tcW w:w="768" w:type="dxa"/>
            <w:shd w:val="clear" w:color="auto" w:fill="auto"/>
            <w:vAlign w:val="center"/>
          </w:tcPr>
          <w:p>
            <w:r>
              <w:rPr>
                <w:rFonts w:hint="eastAsia"/>
              </w:rPr>
              <w:t>现场检查为主，结合通讯检查、书面检查、会议检查等方式</w:t>
            </w:r>
          </w:p>
        </w:tc>
        <w:tc>
          <w:tcPr>
            <w:tcW w:w="618" w:type="dxa"/>
            <w:shd w:val="clear" w:color="auto" w:fill="auto"/>
            <w:vAlign w:val="center"/>
          </w:tcPr>
          <w:p>
            <w:r>
              <w:rPr>
                <w:rFonts w:hint="eastAsia"/>
              </w:rPr>
              <w:t>3-5%</w:t>
            </w:r>
          </w:p>
        </w:tc>
        <w:tc>
          <w:tcPr>
            <w:tcW w:w="545" w:type="dxa"/>
            <w:shd w:val="clear" w:color="auto" w:fill="auto"/>
            <w:vAlign w:val="center"/>
          </w:tcPr>
          <w:p>
            <w:r>
              <w:rPr>
                <w:rFonts w:hint="eastAsia"/>
              </w:rPr>
              <w:t>2次/年</w:t>
            </w:r>
          </w:p>
        </w:tc>
        <w:tc>
          <w:tcPr>
            <w:tcW w:w="625" w:type="dxa"/>
            <w:shd w:val="clear" w:color="auto" w:fill="auto"/>
            <w:vAlign w:val="center"/>
          </w:tcPr>
          <w:p>
            <w:r>
              <w:rPr>
                <w:rFonts w:hint="eastAsia"/>
              </w:rPr>
              <w:t>水资源股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8</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河道采砂</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w:t>
            </w:r>
          </w:p>
        </w:tc>
        <w:tc>
          <w:tcPr>
            <w:tcW w:w="1392" w:type="dxa"/>
            <w:shd w:val="clear" w:color="auto" w:fill="auto"/>
            <w:vAlign w:val="center"/>
          </w:tcPr>
          <w:p>
            <w:r>
              <w:rPr>
                <w:rFonts w:hint="eastAsia"/>
              </w:rPr>
              <w:t>检查是否按照批准的内容实施。</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100%</w:t>
            </w:r>
          </w:p>
        </w:tc>
        <w:tc>
          <w:tcPr>
            <w:tcW w:w="545" w:type="dxa"/>
            <w:shd w:val="clear" w:color="auto" w:fill="auto"/>
            <w:vAlign w:val="center"/>
          </w:tcPr>
          <w:p>
            <w:r>
              <w:rPr>
                <w:rFonts w:hint="eastAsia"/>
              </w:rPr>
              <w:t>1次/年</w:t>
            </w:r>
          </w:p>
        </w:tc>
        <w:tc>
          <w:tcPr>
            <w:tcW w:w="625" w:type="dxa"/>
            <w:shd w:val="clear" w:color="auto" w:fill="auto"/>
            <w:vAlign w:val="center"/>
          </w:tcPr>
          <w:p>
            <w:r>
              <w:rPr>
                <w:rFonts w:hint="eastAsia"/>
              </w:rPr>
              <w:t>水资源管理股、水政监察大队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9</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取水许可</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w:t>
            </w:r>
          </w:p>
        </w:tc>
        <w:tc>
          <w:tcPr>
            <w:tcW w:w="1392" w:type="dxa"/>
            <w:shd w:val="clear" w:color="auto" w:fill="auto"/>
            <w:vAlign w:val="center"/>
          </w:tcPr>
          <w:p>
            <w:r>
              <w:rPr>
                <w:rFonts w:hint="eastAsia"/>
              </w:rPr>
              <w:t>1. 是否按照取水申请批准文件建设取水工程或者设施；</w:t>
            </w:r>
            <w:r>
              <w:rPr>
                <w:rFonts w:hint="eastAsia"/>
              </w:rPr>
              <w:br w:type="textWrapping"/>
            </w:r>
            <w:r>
              <w:rPr>
                <w:rFonts w:hint="eastAsia"/>
              </w:rPr>
              <w:t>2.是否按照批准的取水许可规定条件取水，并按批准的用途用水；</w:t>
            </w:r>
            <w:r>
              <w:rPr>
                <w:rFonts w:hint="eastAsia"/>
              </w:rPr>
              <w:br w:type="textWrapping"/>
            </w:r>
            <w:r>
              <w:rPr>
                <w:rFonts w:hint="eastAsia"/>
              </w:rPr>
              <w:t>3.是否按时申报计划用水，是否按照批准的计划取水，</w:t>
            </w:r>
            <w:r>
              <w:rPr>
                <w:rFonts w:hint="eastAsia"/>
              </w:rPr>
              <w:br w:type="textWrapping"/>
            </w:r>
            <w:r>
              <w:rPr>
                <w:rFonts w:hint="eastAsia"/>
              </w:rPr>
              <w:t>是否如实提供取用水有关情况；</w:t>
            </w:r>
            <w:r>
              <w:rPr>
                <w:rFonts w:hint="eastAsia"/>
              </w:rPr>
              <w:br w:type="textWrapping"/>
            </w:r>
            <w:r>
              <w:rPr>
                <w:rFonts w:hint="eastAsia"/>
              </w:rPr>
              <w:t>4.是否执行审批机关作出的取水量限制决定，或者未经批准擅自转让取水权；</w:t>
            </w:r>
            <w:r>
              <w:rPr>
                <w:rFonts w:hint="eastAsia"/>
              </w:rPr>
              <w:br w:type="textWrapping"/>
            </w:r>
            <w:r>
              <w:rPr>
                <w:rFonts w:hint="eastAsia"/>
              </w:rPr>
              <w:t>5.是否安装计量设施（在线监测）并保证其运行正常；</w:t>
            </w:r>
            <w:r>
              <w:rPr>
                <w:rFonts w:hint="eastAsia"/>
              </w:rPr>
              <w:br w:type="textWrapping"/>
            </w:r>
            <w:r>
              <w:rPr>
                <w:rFonts w:hint="eastAsia"/>
              </w:rPr>
              <w:t>6.是否按照要求退水；</w:t>
            </w:r>
            <w:r>
              <w:rPr>
                <w:rFonts w:hint="eastAsia"/>
              </w:rPr>
              <w:br w:type="textWrapping"/>
            </w:r>
            <w:r>
              <w:rPr>
                <w:rFonts w:hint="eastAsia"/>
              </w:rPr>
              <w:t>7.是否依法缴纳水资源费；</w:t>
            </w:r>
            <w:r>
              <w:rPr>
                <w:rFonts w:hint="eastAsia"/>
              </w:rPr>
              <w:br w:type="textWrapping"/>
            </w:r>
            <w:r>
              <w:rPr>
                <w:rFonts w:hint="eastAsia"/>
              </w:rPr>
              <w:t>8.是否按照规定时限向审批机关延续取水许可申请；</w:t>
            </w:r>
            <w:r>
              <w:rPr>
                <w:rFonts w:hint="eastAsia"/>
              </w:rPr>
              <w:br w:type="textWrapping"/>
            </w:r>
            <w:r>
              <w:rPr>
                <w:rFonts w:hint="eastAsia"/>
              </w:rPr>
              <w:t>9.需要调整计划用水总量的，是否依法向管理机关提出调整，并取得核定或者备案文件。</w:t>
            </w:r>
          </w:p>
          <w:p>
            <w:r>
              <w:rPr>
                <w:rFonts w:hint="eastAsia"/>
              </w:rPr>
              <w:t> </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10%</w:t>
            </w:r>
          </w:p>
        </w:tc>
        <w:tc>
          <w:tcPr>
            <w:tcW w:w="545" w:type="dxa"/>
            <w:shd w:val="clear" w:color="auto" w:fill="auto"/>
            <w:vAlign w:val="center"/>
          </w:tcPr>
          <w:p>
            <w:r>
              <w:rPr>
                <w:rFonts w:hint="eastAsia"/>
              </w:rPr>
              <w:t>2次/年</w:t>
            </w:r>
          </w:p>
        </w:tc>
        <w:tc>
          <w:tcPr>
            <w:tcW w:w="625" w:type="dxa"/>
            <w:shd w:val="clear" w:color="auto" w:fill="auto"/>
            <w:vAlign w:val="center"/>
          </w:tcPr>
          <w:p>
            <w:r>
              <w:rPr>
                <w:rFonts w:hint="eastAsia"/>
              </w:rPr>
              <w:t>水资源股</w:t>
            </w:r>
          </w:p>
          <w:p>
            <w:r>
              <w:rPr>
                <w:rFonts w:hint="eastAsia"/>
              </w:rPr>
              <w:t> </w:t>
            </w:r>
          </w:p>
          <w:p>
            <w:r>
              <w:rPr>
                <w:rFonts w:hint="eastAsia"/>
              </w:rPr>
              <w:t> </w:t>
            </w:r>
          </w:p>
          <w:p>
            <w:r>
              <w:rPr>
                <w:rFonts w:hint="eastAsia"/>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10</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入河排污口设置审核</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被许可人</w:t>
            </w:r>
          </w:p>
        </w:tc>
        <w:tc>
          <w:tcPr>
            <w:tcW w:w="1392" w:type="dxa"/>
            <w:shd w:val="clear" w:color="auto" w:fill="auto"/>
            <w:vAlign w:val="center"/>
          </w:tcPr>
          <w:p>
            <w:r>
              <w:rPr>
                <w:rFonts w:hint="eastAsia"/>
              </w:rPr>
              <w:t>1.入河排污口设置地点、排污方式和对入河排污口设置审核要求的落实情况；</w:t>
            </w:r>
            <w:r>
              <w:rPr>
                <w:rFonts w:hint="eastAsia"/>
              </w:rPr>
              <w:br w:type="textWrapping"/>
            </w:r>
            <w:r>
              <w:rPr>
                <w:rFonts w:hint="eastAsia"/>
              </w:rPr>
              <w:t>2.特别情况下限制排污的落实情况；</w:t>
            </w:r>
            <w:r>
              <w:rPr>
                <w:rFonts w:hint="eastAsia"/>
              </w:rPr>
              <w:br w:type="textWrapping"/>
            </w:r>
            <w:r>
              <w:rPr>
                <w:rFonts w:hint="eastAsia"/>
              </w:rPr>
              <w:t>3.相关保护措施的落实情况；</w:t>
            </w:r>
            <w:r>
              <w:rPr>
                <w:rFonts w:hint="eastAsia"/>
              </w:rPr>
              <w:br w:type="textWrapping"/>
            </w:r>
            <w:r>
              <w:rPr>
                <w:rFonts w:hint="eastAsia"/>
              </w:rPr>
              <w:t>4.法律、法规、规章规定其他事项的落实情况。</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5%</w:t>
            </w:r>
          </w:p>
        </w:tc>
        <w:tc>
          <w:tcPr>
            <w:tcW w:w="545" w:type="dxa"/>
            <w:shd w:val="clear" w:color="auto" w:fill="auto"/>
            <w:vAlign w:val="center"/>
          </w:tcPr>
          <w:p>
            <w:r>
              <w:rPr>
                <w:rFonts w:hint="eastAsia"/>
              </w:rPr>
              <w:t>1次/年</w:t>
            </w:r>
          </w:p>
        </w:tc>
        <w:tc>
          <w:tcPr>
            <w:tcW w:w="625" w:type="dxa"/>
            <w:shd w:val="clear" w:color="auto" w:fill="auto"/>
            <w:vAlign w:val="center"/>
          </w:tcPr>
          <w:p>
            <w:r>
              <w:rPr>
                <w:rFonts w:hint="eastAsia"/>
              </w:rPr>
              <w:t>供排水管理股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11</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城市排水许可</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被许可人</w:t>
            </w:r>
          </w:p>
        </w:tc>
        <w:tc>
          <w:tcPr>
            <w:tcW w:w="1392" w:type="dxa"/>
            <w:shd w:val="clear" w:color="auto" w:fill="auto"/>
            <w:vAlign w:val="center"/>
          </w:tcPr>
          <w:p>
            <w:r>
              <w:rPr>
                <w:rFonts w:hint="eastAsia"/>
              </w:rPr>
              <w:t>检查是否按照批准的内容实施。</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10%</w:t>
            </w:r>
          </w:p>
        </w:tc>
        <w:tc>
          <w:tcPr>
            <w:tcW w:w="545" w:type="dxa"/>
            <w:shd w:val="clear" w:color="auto" w:fill="auto"/>
            <w:vAlign w:val="center"/>
          </w:tcPr>
          <w:p>
            <w:r>
              <w:rPr>
                <w:rFonts w:hint="eastAsia"/>
              </w:rPr>
              <w:t>1次/年</w:t>
            </w:r>
          </w:p>
        </w:tc>
        <w:tc>
          <w:tcPr>
            <w:tcW w:w="625" w:type="dxa"/>
            <w:shd w:val="clear" w:color="auto" w:fill="auto"/>
            <w:vAlign w:val="center"/>
          </w:tcPr>
          <w:p>
            <w:r>
              <w:rPr>
                <w:rFonts w:hint="eastAsia"/>
              </w:rPr>
              <w:t>供排水管理股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12</w:t>
            </w:r>
          </w:p>
        </w:tc>
        <w:tc>
          <w:tcPr>
            <w:tcW w:w="359" w:type="dxa"/>
            <w:shd w:val="clear" w:color="auto" w:fill="auto"/>
            <w:vAlign w:val="center"/>
          </w:tcPr>
          <w:p>
            <w:r>
              <w:rPr>
                <w:rFonts w:hint="eastAsia"/>
              </w:rPr>
              <w:t>行政许可</w:t>
            </w:r>
          </w:p>
        </w:tc>
        <w:tc>
          <w:tcPr>
            <w:tcW w:w="927" w:type="dxa"/>
            <w:shd w:val="clear" w:color="auto" w:fill="auto"/>
            <w:vAlign w:val="center"/>
          </w:tcPr>
          <w:p>
            <w:r>
              <w:rPr>
                <w:rFonts w:hint="eastAsia"/>
              </w:rPr>
              <w:t>移动、改建、占用公共排水设施的审批</w:t>
            </w:r>
          </w:p>
        </w:tc>
        <w:tc>
          <w:tcPr>
            <w:tcW w:w="2748" w:type="dxa"/>
            <w:shd w:val="clear" w:color="auto" w:fill="auto"/>
            <w:vAlign w:val="center"/>
          </w:tcPr>
          <w:p>
            <w:r>
              <w:rPr>
                <w:rFonts w:hint="eastAsia"/>
              </w:rPr>
              <w:t>《行政许可法》第十条第二款：行政机关应当对公民、法人或者其他组织从事行政许可事项的活动实施有效监督。第六十一条第一款：行政机关应当建立健全监督制度，通过核查反映被许可人从事行政许可事项活动情况的有关材料，履行监督责任。</w:t>
            </w:r>
          </w:p>
        </w:tc>
        <w:tc>
          <w:tcPr>
            <w:tcW w:w="333" w:type="dxa"/>
            <w:shd w:val="clear" w:color="auto" w:fill="auto"/>
            <w:vAlign w:val="center"/>
          </w:tcPr>
          <w:p>
            <w:r>
              <w:rPr>
                <w:rFonts w:hint="eastAsia"/>
              </w:rPr>
              <w:t>被许可人</w:t>
            </w:r>
          </w:p>
        </w:tc>
        <w:tc>
          <w:tcPr>
            <w:tcW w:w="1392" w:type="dxa"/>
            <w:shd w:val="clear" w:color="auto" w:fill="auto"/>
            <w:vAlign w:val="center"/>
          </w:tcPr>
          <w:p>
            <w:r>
              <w:rPr>
                <w:rFonts w:hint="eastAsia"/>
              </w:rPr>
              <w:t>检查是否按照批准的内容实施。</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10%</w:t>
            </w:r>
          </w:p>
        </w:tc>
        <w:tc>
          <w:tcPr>
            <w:tcW w:w="545" w:type="dxa"/>
            <w:shd w:val="clear" w:color="auto" w:fill="auto"/>
            <w:vAlign w:val="center"/>
          </w:tcPr>
          <w:p>
            <w:r>
              <w:rPr>
                <w:rFonts w:hint="eastAsia"/>
              </w:rPr>
              <w:t>1次/年</w:t>
            </w:r>
          </w:p>
        </w:tc>
        <w:tc>
          <w:tcPr>
            <w:tcW w:w="625" w:type="dxa"/>
            <w:shd w:val="clear" w:color="auto" w:fill="auto"/>
            <w:vAlign w:val="center"/>
          </w:tcPr>
          <w:p>
            <w:r>
              <w:rPr>
                <w:rFonts w:hint="eastAsia"/>
              </w:rPr>
              <w:t>供排水管理股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13</w:t>
            </w:r>
          </w:p>
        </w:tc>
        <w:tc>
          <w:tcPr>
            <w:tcW w:w="359" w:type="dxa"/>
            <w:shd w:val="clear" w:color="auto" w:fill="auto"/>
            <w:vAlign w:val="center"/>
          </w:tcPr>
          <w:p>
            <w:r>
              <w:rPr>
                <w:rFonts w:hint="eastAsia"/>
              </w:rPr>
              <w:t>安全生产管理</w:t>
            </w:r>
          </w:p>
        </w:tc>
        <w:tc>
          <w:tcPr>
            <w:tcW w:w="927" w:type="dxa"/>
            <w:shd w:val="clear" w:color="auto" w:fill="auto"/>
            <w:vAlign w:val="center"/>
          </w:tcPr>
          <w:p>
            <w:r>
              <w:rPr>
                <w:rFonts w:hint="eastAsia"/>
              </w:rPr>
              <w:t>小水电站安全生产管理情况</w:t>
            </w:r>
          </w:p>
        </w:tc>
        <w:tc>
          <w:tcPr>
            <w:tcW w:w="2748" w:type="dxa"/>
            <w:shd w:val="clear" w:color="auto" w:fill="auto"/>
            <w:vAlign w:val="center"/>
          </w:tcPr>
          <w:p>
            <w:r>
              <w:rPr>
                <w:rFonts w:hint="eastAsia"/>
              </w:rPr>
              <w:t>《广东省小水电管理办法》（广东省人民政府令第152号，2010年11月16日公布，2010年12月1日起施行）第三章</w:t>
            </w:r>
          </w:p>
        </w:tc>
        <w:tc>
          <w:tcPr>
            <w:tcW w:w="333" w:type="dxa"/>
            <w:shd w:val="clear" w:color="auto" w:fill="auto"/>
            <w:vAlign w:val="center"/>
          </w:tcPr>
          <w:p>
            <w:r>
              <w:rPr>
                <w:rFonts w:hint="eastAsia"/>
              </w:rPr>
              <w:t>县辖区内小水电站</w:t>
            </w:r>
          </w:p>
        </w:tc>
        <w:tc>
          <w:tcPr>
            <w:tcW w:w="1392" w:type="dxa"/>
            <w:shd w:val="clear" w:color="auto" w:fill="auto"/>
            <w:vAlign w:val="center"/>
          </w:tcPr>
          <w:p>
            <w:r>
              <w:rPr>
                <w:rFonts w:hint="eastAsia"/>
              </w:rPr>
              <w:t>1、应急预案和防汛措施。</w:t>
            </w:r>
          </w:p>
          <w:p>
            <w:r>
              <w:rPr>
                <w:rFonts w:hint="eastAsia"/>
              </w:rPr>
              <w:t>2、专职安全管理员配备情况。</w:t>
            </w:r>
          </w:p>
          <w:p>
            <w:r>
              <w:rPr>
                <w:rFonts w:hint="eastAsia"/>
              </w:rPr>
              <w:t>3、是否按照经批准的满足生态的最小下泄流量。</w:t>
            </w:r>
          </w:p>
          <w:p>
            <w:r>
              <w:rPr>
                <w:rFonts w:hint="eastAsia"/>
              </w:rPr>
              <w:t>4、安全管理分类和定期检验制度。</w:t>
            </w:r>
          </w:p>
          <w:p>
            <w:r>
              <w:rPr>
                <w:rFonts w:hint="eastAsia"/>
              </w:rPr>
              <w:t>5、运行管理人员持证上岗制度。</w:t>
            </w:r>
          </w:p>
          <w:p>
            <w:r>
              <w:rPr>
                <w:rFonts w:hint="eastAsia"/>
              </w:rPr>
              <w:t>6、汛期调度运用计划和防洪抢险应急预案制订情况。</w:t>
            </w:r>
          </w:p>
          <w:p>
            <w:r>
              <w:rPr>
                <w:rFonts w:hint="eastAsia"/>
              </w:rPr>
              <w:t> </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5%</w:t>
            </w:r>
          </w:p>
        </w:tc>
        <w:tc>
          <w:tcPr>
            <w:tcW w:w="545" w:type="dxa"/>
            <w:shd w:val="clear" w:color="auto" w:fill="auto"/>
            <w:vAlign w:val="center"/>
          </w:tcPr>
          <w:p>
            <w:r>
              <w:rPr>
                <w:rFonts w:hint="eastAsia"/>
              </w:rPr>
              <w:t>2次/年</w:t>
            </w:r>
          </w:p>
        </w:tc>
        <w:tc>
          <w:tcPr>
            <w:tcW w:w="625" w:type="dxa"/>
            <w:shd w:val="clear" w:color="auto" w:fill="auto"/>
            <w:vAlign w:val="center"/>
          </w:tcPr>
          <w:p>
            <w:pPr>
              <w:rPr>
                <w:rFonts w:hint="eastAsia" w:eastAsiaTheme="minorEastAsia"/>
                <w:lang w:val="en-US" w:eastAsia="zh-CN"/>
              </w:rPr>
            </w:pPr>
            <w:r>
              <w:rPr>
                <w:rFonts w:hint="eastAsia"/>
                <w:lang w:val="en-US" w:eastAsia="zh-CN"/>
              </w:rPr>
              <w:t>水电建设管理股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14</w:t>
            </w:r>
          </w:p>
        </w:tc>
        <w:tc>
          <w:tcPr>
            <w:tcW w:w="359" w:type="dxa"/>
            <w:shd w:val="clear" w:color="auto" w:fill="auto"/>
            <w:vAlign w:val="center"/>
          </w:tcPr>
          <w:p>
            <w:r>
              <w:rPr>
                <w:rFonts w:hint="eastAsia"/>
              </w:rPr>
              <w:t>在建水利工程质量管理</w:t>
            </w:r>
          </w:p>
        </w:tc>
        <w:tc>
          <w:tcPr>
            <w:tcW w:w="927" w:type="dxa"/>
            <w:shd w:val="clear" w:color="auto" w:fill="auto"/>
            <w:vAlign w:val="center"/>
          </w:tcPr>
          <w:p>
            <w:r>
              <w:rPr>
                <w:rFonts w:hint="eastAsia"/>
              </w:rPr>
              <w:t>在建工程质量相关单位资质、保障体系、技术标准执行情况</w:t>
            </w:r>
          </w:p>
        </w:tc>
        <w:tc>
          <w:tcPr>
            <w:tcW w:w="2748" w:type="dxa"/>
            <w:shd w:val="clear" w:color="auto" w:fill="auto"/>
            <w:vAlign w:val="center"/>
          </w:tcPr>
          <w:p>
            <w:r>
              <w:rPr>
                <w:rFonts w:hint="eastAsia"/>
              </w:rPr>
              <w:t>《水利工程质量管理规定》（水利部令第7号）第十三条：水利工程质量监督机构负责监督设计、监理、施工单位在其资质等级允许范围内从事水利工程建设的质量工作；负责检查、督促建设、监理、设计、施工单位建立健全质量体系。水利工程质量监督机构，按照国家和水利行业有关工程建设法规、技术标准和设计文件实施工程质量监督，对施工现场影响工程质量的行为进行监督检查。第十四条：水利工程质量监督实施以抽查为主的监督方式，运用法律和行政手段，做好监督抽查后的处理工作。工程竣工验收时，质量监督机构应对工程质量等级进行核定。未经质量核定或核定不合格的工程，施工单位不得交验，工程主管部门不能验收，工程不得投入使用。</w:t>
            </w:r>
          </w:p>
        </w:tc>
        <w:tc>
          <w:tcPr>
            <w:tcW w:w="333" w:type="dxa"/>
            <w:shd w:val="clear" w:color="auto" w:fill="auto"/>
            <w:vAlign w:val="center"/>
          </w:tcPr>
          <w:p>
            <w:r>
              <w:rPr>
                <w:rFonts w:hint="eastAsia"/>
              </w:rPr>
              <w:t>在建工程施工单位</w:t>
            </w:r>
          </w:p>
        </w:tc>
        <w:tc>
          <w:tcPr>
            <w:tcW w:w="1392" w:type="dxa"/>
            <w:shd w:val="clear" w:color="auto" w:fill="auto"/>
            <w:vAlign w:val="center"/>
          </w:tcPr>
          <w:p>
            <w:r>
              <w:rPr>
                <w:rFonts w:hint="eastAsia"/>
              </w:rPr>
              <w:t>1.是否在资质等级允许范围内从事水利工程建设的质量工作；</w:t>
            </w:r>
          </w:p>
          <w:p>
            <w:r>
              <w:rPr>
                <w:rFonts w:hint="eastAsia"/>
              </w:rPr>
              <w:t>2.建立健全质量体系情况；</w:t>
            </w:r>
          </w:p>
          <w:p>
            <w:r>
              <w:rPr>
                <w:rFonts w:hint="eastAsia"/>
              </w:rPr>
              <w:t>3.施工现场是否存在影响工程质量的行为</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20%</w:t>
            </w:r>
          </w:p>
        </w:tc>
        <w:tc>
          <w:tcPr>
            <w:tcW w:w="545" w:type="dxa"/>
            <w:shd w:val="clear" w:color="auto" w:fill="auto"/>
            <w:vAlign w:val="center"/>
          </w:tcPr>
          <w:p>
            <w:r>
              <w:rPr>
                <w:rFonts w:hint="eastAsia"/>
              </w:rPr>
              <w:t>2次/年</w:t>
            </w:r>
          </w:p>
        </w:tc>
        <w:tc>
          <w:tcPr>
            <w:tcW w:w="625" w:type="dxa"/>
            <w:shd w:val="clear" w:color="auto" w:fill="auto"/>
            <w:vAlign w:val="center"/>
          </w:tcPr>
          <w:p>
            <w:pPr>
              <w:rPr>
                <w:rFonts w:hint="eastAsia" w:eastAsiaTheme="minorEastAsia"/>
                <w:lang w:eastAsia="zh-CN"/>
              </w:rPr>
            </w:pPr>
            <w:r>
              <w:rPr>
                <w:rFonts w:hint="eastAsia"/>
                <w:lang w:eastAsia="zh-CN"/>
              </w:rPr>
              <w:t>水利工程安全与质量监督股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15</w:t>
            </w:r>
          </w:p>
        </w:tc>
        <w:tc>
          <w:tcPr>
            <w:tcW w:w="359" w:type="dxa"/>
            <w:shd w:val="clear" w:color="auto" w:fill="auto"/>
            <w:vAlign w:val="center"/>
          </w:tcPr>
          <w:p>
            <w:r>
              <w:rPr>
                <w:rFonts w:hint="eastAsia"/>
              </w:rPr>
              <w:t>水利建设市场管理</w:t>
            </w:r>
          </w:p>
        </w:tc>
        <w:tc>
          <w:tcPr>
            <w:tcW w:w="927" w:type="dxa"/>
            <w:shd w:val="clear" w:color="auto" w:fill="auto"/>
            <w:vAlign w:val="center"/>
          </w:tcPr>
          <w:p>
            <w:r>
              <w:rPr>
                <w:rFonts w:hint="eastAsia"/>
              </w:rPr>
              <w:t>水利建设市场工人工资检查落实情况</w:t>
            </w:r>
          </w:p>
        </w:tc>
        <w:tc>
          <w:tcPr>
            <w:tcW w:w="2748" w:type="dxa"/>
            <w:shd w:val="clear" w:color="auto" w:fill="auto"/>
            <w:vAlign w:val="center"/>
          </w:tcPr>
          <w:p>
            <w:r>
              <w:rPr>
                <w:rFonts w:hint="eastAsia"/>
              </w:rPr>
              <w:t>《关于印发清远市保障农民工工资支付工资考核办法的通知》（清府办函[2018]89号）第78至92条</w:t>
            </w:r>
          </w:p>
        </w:tc>
        <w:tc>
          <w:tcPr>
            <w:tcW w:w="333" w:type="dxa"/>
            <w:shd w:val="clear" w:color="auto" w:fill="auto"/>
            <w:vAlign w:val="center"/>
          </w:tcPr>
          <w:p>
            <w:r>
              <w:rPr>
                <w:rFonts w:hint="eastAsia"/>
              </w:rPr>
              <w:t>在建项目</w:t>
            </w:r>
          </w:p>
        </w:tc>
        <w:tc>
          <w:tcPr>
            <w:tcW w:w="1392" w:type="dxa"/>
            <w:shd w:val="clear" w:color="auto" w:fill="auto"/>
            <w:vAlign w:val="center"/>
          </w:tcPr>
          <w:p>
            <w:r>
              <w:rPr>
                <w:rFonts w:hint="eastAsia"/>
              </w:rPr>
              <w:t>主要针对在建县管水利工程项目，施工单位有没有落实工人工资保证金等情况。</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10%</w:t>
            </w:r>
          </w:p>
        </w:tc>
        <w:tc>
          <w:tcPr>
            <w:tcW w:w="545" w:type="dxa"/>
            <w:shd w:val="clear" w:color="auto" w:fill="auto"/>
            <w:vAlign w:val="center"/>
          </w:tcPr>
          <w:p>
            <w:r>
              <w:rPr>
                <w:rFonts w:hint="eastAsia"/>
              </w:rPr>
              <w:t>2次/年</w:t>
            </w:r>
          </w:p>
        </w:tc>
        <w:tc>
          <w:tcPr>
            <w:tcW w:w="625" w:type="dxa"/>
            <w:shd w:val="clear" w:color="auto" w:fill="auto"/>
            <w:vAlign w:val="center"/>
          </w:tcPr>
          <w:p>
            <w:r>
              <w:rPr>
                <w:rFonts w:hint="eastAsia"/>
                <w:lang w:eastAsia="zh-CN"/>
              </w:rPr>
              <w:t>建设与管理股、水利工程管理</w:t>
            </w:r>
            <w:r>
              <w:rPr>
                <w:rFonts w:hint="eastAsia"/>
              </w:rPr>
              <w:t>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16</w:t>
            </w:r>
          </w:p>
        </w:tc>
        <w:tc>
          <w:tcPr>
            <w:tcW w:w="359" w:type="dxa"/>
            <w:shd w:val="clear" w:color="auto" w:fill="auto"/>
            <w:vAlign w:val="center"/>
          </w:tcPr>
          <w:p>
            <w:r>
              <w:rPr>
                <w:rFonts w:hint="eastAsia"/>
              </w:rPr>
              <w:t>招标投标</w:t>
            </w:r>
          </w:p>
        </w:tc>
        <w:tc>
          <w:tcPr>
            <w:tcW w:w="927" w:type="dxa"/>
            <w:shd w:val="clear" w:color="auto" w:fill="auto"/>
            <w:vAlign w:val="center"/>
          </w:tcPr>
          <w:p>
            <w:r>
              <w:rPr>
                <w:rFonts w:hint="eastAsia"/>
              </w:rPr>
              <w:t>水利工程建设项目招标投标监督检查</w:t>
            </w:r>
          </w:p>
        </w:tc>
        <w:tc>
          <w:tcPr>
            <w:tcW w:w="2748" w:type="dxa"/>
            <w:shd w:val="clear" w:color="auto" w:fill="auto"/>
            <w:vAlign w:val="center"/>
          </w:tcPr>
          <w:p>
            <w:r>
              <w:rPr>
                <w:rFonts w:hint="eastAsia"/>
              </w:rPr>
              <w:t>《中华人民共和国招标投标法》第七条：招标投标活动及其当事人应当接受依法实施的监督。有关行政监督部门依法对招标投标活动实施监督，依法查处招标投标活动中的违法行为。《中华人民共和国招标投标法实施条例》规定：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tc>
        <w:tc>
          <w:tcPr>
            <w:tcW w:w="333" w:type="dxa"/>
            <w:shd w:val="clear" w:color="auto" w:fill="auto"/>
            <w:vAlign w:val="center"/>
          </w:tcPr>
          <w:p>
            <w:r>
              <w:rPr>
                <w:rFonts w:hint="eastAsia"/>
              </w:rPr>
              <w:t>水利工程建设项目</w:t>
            </w:r>
          </w:p>
        </w:tc>
        <w:tc>
          <w:tcPr>
            <w:tcW w:w="1392" w:type="dxa"/>
            <w:shd w:val="clear" w:color="auto" w:fill="auto"/>
            <w:vAlign w:val="center"/>
          </w:tcPr>
          <w:p>
            <w:r>
              <w:rPr>
                <w:rFonts w:hint="eastAsia"/>
              </w:rPr>
              <w:t>对水利工程建设项目招标准备工作、资格审查、开标、评标、定标的监督，主要内容包括招标方式、评标办法、开标程序、评标程序、评标专家抽取等是否符合规定。</w:t>
            </w:r>
          </w:p>
          <w:p>
            <w:r>
              <w:rPr>
                <w:rFonts w:hint="eastAsia"/>
              </w:rPr>
              <w:t> </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10%</w:t>
            </w:r>
          </w:p>
        </w:tc>
        <w:tc>
          <w:tcPr>
            <w:tcW w:w="545" w:type="dxa"/>
            <w:shd w:val="clear" w:color="auto" w:fill="auto"/>
            <w:vAlign w:val="center"/>
          </w:tcPr>
          <w:p>
            <w:r>
              <w:rPr>
                <w:rFonts w:hint="eastAsia"/>
              </w:rPr>
              <w:t>1次/年</w:t>
            </w:r>
          </w:p>
        </w:tc>
        <w:tc>
          <w:tcPr>
            <w:tcW w:w="625" w:type="dxa"/>
            <w:shd w:val="clear" w:color="auto" w:fill="auto"/>
            <w:vAlign w:val="center"/>
          </w:tcPr>
          <w:p>
            <w:r>
              <w:rPr>
                <w:rFonts w:hint="eastAsia"/>
                <w:lang w:eastAsia="zh-CN"/>
              </w:rPr>
              <w:t>建设与管理股、水利工程管理</w:t>
            </w:r>
            <w:r>
              <w:rPr>
                <w:rFonts w:hint="eastAsia"/>
              </w:rPr>
              <w:t>中心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15" w:type="dxa"/>
        </w:trPr>
        <w:tc>
          <w:tcPr>
            <w:tcW w:w="256" w:type="dxa"/>
            <w:shd w:val="clear" w:color="auto" w:fill="auto"/>
            <w:vAlign w:val="center"/>
          </w:tcPr>
          <w:p>
            <w:r>
              <w:rPr>
                <w:rFonts w:hint="eastAsia"/>
              </w:rPr>
              <w:t>17</w:t>
            </w:r>
          </w:p>
        </w:tc>
        <w:tc>
          <w:tcPr>
            <w:tcW w:w="359" w:type="dxa"/>
            <w:shd w:val="clear" w:color="auto" w:fill="auto"/>
            <w:vAlign w:val="center"/>
          </w:tcPr>
          <w:p>
            <w:r>
              <w:rPr>
                <w:rFonts w:hint="eastAsia"/>
              </w:rPr>
              <w:t>安全生产管理</w:t>
            </w:r>
          </w:p>
        </w:tc>
        <w:tc>
          <w:tcPr>
            <w:tcW w:w="927" w:type="dxa"/>
            <w:shd w:val="clear" w:color="auto" w:fill="auto"/>
            <w:vAlign w:val="center"/>
          </w:tcPr>
          <w:p>
            <w:r>
              <w:rPr>
                <w:rFonts w:hint="eastAsia"/>
              </w:rPr>
              <w:t>生产经营单位执行有关安全生产法律、法规和国家标准、行业标准或者地方标准的情况</w:t>
            </w:r>
          </w:p>
        </w:tc>
        <w:tc>
          <w:tcPr>
            <w:tcW w:w="2748" w:type="dxa"/>
            <w:shd w:val="clear" w:color="auto" w:fill="auto"/>
            <w:vAlign w:val="center"/>
          </w:tcPr>
          <w:p>
            <w:r>
              <w:rPr>
                <w:rFonts w:hint="eastAsia"/>
              </w:rPr>
              <w:t>《中华人民共和国安全生产法》（2015年修正）第六十二条：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监督检查不得影响被检查单位的正常生产经营活动。</w:t>
            </w:r>
          </w:p>
        </w:tc>
        <w:tc>
          <w:tcPr>
            <w:tcW w:w="333" w:type="dxa"/>
            <w:shd w:val="clear" w:color="auto" w:fill="auto"/>
            <w:vAlign w:val="center"/>
          </w:tcPr>
          <w:p>
            <w:r>
              <w:rPr>
                <w:rFonts w:hint="eastAsia"/>
              </w:rPr>
              <w:t>在建工程</w:t>
            </w:r>
          </w:p>
        </w:tc>
        <w:tc>
          <w:tcPr>
            <w:tcW w:w="1392" w:type="dxa"/>
            <w:shd w:val="clear" w:color="auto" w:fill="auto"/>
            <w:vAlign w:val="center"/>
          </w:tcPr>
          <w:p>
            <w:r>
              <w:rPr>
                <w:rFonts w:hint="eastAsia"/>
              </w:rPr>
              <w:t>1.贯彻落实国家、水利部、省安全生产法律、法规、政策、文件情况；</w:t>
            </w:r>
          </w:p>
          <w:p>
            <w:r>
              <w:rPr>
                <w:rFonts w:hint="eastAsia"/>
              </w:rPr>
              <w:t>2.安全生产管理制度及“一岗双责”制的建立健全及落实情况；</w:t>
            </w:r>
          </w:p>
          <w:p>
            <w:r>
              <w:rPr>
                <w:rFonts w:hint="eastAsia"/>
              </w:rPr>
              <w:t>3.加大安全投入，保障安全生产工作措施落实情况；</w:t>
            </w:r>
          </w:p>
          <w:p>
            <w:r>
              <w:rPr>
                <w:rFonts w:hint="eastAsia"/>
              </w:rPr>
              <w:t>4.安全生产监管机构和监管人员设置情况；</w:t>
            </w:r>
          </w:p>
          <w:p>
            <w:r>
              <w:rPr>
                <w:rFonts w:hint="eastAsia"/>
              </w:rPr>
              <w:t>5.安全生产例会制度执行情况；</w:t>
            </w:r>
          </w:p>
          <w:p>
            <w:r>
              <w:rPr>
                <w:rFonts w:hint="eastAsia"/>
              </w:rPr>
              <w:t>6.履行安全生产监督、管理、检查等责任的情况；</w:t>
            </w:r>
          </w:p>
          <w:p>
            <w:r>
              <w:rPr>
                <w:rFonts w:hint="eastAsia"/>
              </w:rPr>
              <w:t>7.对安全事故的报告、调查、处理、结案和责任追究情况；</w:t>
            </w:r>
          </w:p>
          <w:p>
            <w:r>
              <w:rPr>
                <w:rFonts w:hint="eastAsia"/>
              </w:rPr>
              <w:t>8.安全生产教育培训情况；</w:t>
            </w:r>
          </w:p>
          <w:p>
            <w:r>
              <w:rPr>
                <w:rFonts w:hint="eastAsia"/>
              </w:rPr>
              <w:t>9.对水利工程安全生产市场准入条件及建设项目安全设施“三同时”规定执行情况；</w:t>
            </w:r>
          </w:p>
          <w:p>
            <w:r>
              <w:rPr>
                <w:rFonts w:hint="eastAsia"/>
              </w:rPr>
              <w:t>10.各类水利风险点、危险源排查防控情况和安全隐患排查、治理、消除情况；</w:t>
            </w:r>
          </w:p>
          <w:p>
            <w:r>
              <w:rPr>
                <w:rFonts w:hint="eastAsia"/>
              </w:rPr>
              <w:t>11.各类生产安全事故应急预案、救援体系的建立和应急演练情况；</w:t>
            </w:r>
          </w:p>
          <w:p>
            <w:r>
              <w:rPr>
                <w:rFonts w:hint="eastAsia"/>
              </w:rPr>
              <w:t>12.安全施工措施费用管理情况等。各类安全检查，除通用内容外，按照有关规程或规范性文件执行。</w:t>
            </w:r>
          </w:p>
        </w:tc>
        <w:tc>
          <w:tcPr>
            <w:tcW w:w="768" w:type="dxa"/>
            <w:shd w:val="clear" w:color="auto" w:fill="auto"/>
            <w:vAlign w:val="center"/>
          </w:tcPr>
          <w:p>
            <w:r>
              <w:rPr>
                <w:rFonts w:hint="eastAsia"/>
              </w:rPr>
              <w:t>现场检查</w:t>
            </w:r>
          </w:p>
        </w:tc>
        <w:tc>
          <w:tcPr>
            <w:tcW w:w="618" w:type="dxa"/>
            <w:shd w:val="clear" w:color="auto" w:fill="auto"/>
            <w:vAlign w:val="center"/>
          </w:tcPr>
          <w:p>
            <w:r>
              <w:rPr>
                <w:rFonts w:hint="eastAsia"/>
              </w:rPr>
              <w:t>10%</w:t>
            </w:r>
          </w:p>
        </w:tc>
        <w:tc>
          <w:tcPr>
            <w:tcW w:w="545" w:type="dxa"/>
            <w:shd w:val="clear" w:color="auto" w:fill="auto"/>
            <w:vAlign w:val="center"/>
          </w:tcPr>
          <w:p>
            <w:r>
              <w:rPr>
                <w:rFonts w:hint="eastAsia"/>
              </w:rPr>
              <w:t>2次/年</w:t>
            </w:r>
          </w:p>
        </w:tc>
        <w:tc>
          <w:tcPr>
            <w:tcW w:w="625" w:type="dxa"/>
            <w:shd w:val="clear" w:color="auto" w:fill="auto"/>
            <w:vAlign w:val="center"/>
          </w:tcPr>
          <w:p>
            <w:r>
              <w:rPr>
                <w:rFonts w:hint="eastAsia"/>
                <w:lang w:eastAsia="zh-CN"/>
              </w:rPr>
              <w:t>建设与管理股、水利工程管理</w:t>
            </w:r>
            <w:r>
              <w:rPr>
                <w:rFonts w:hint="eastAsia"/>
              </w:rPr>
              <w:t>中心</w:t>
            </w:r>
          </w:p>
        </w:tc>
      </w:tr>
    </w:tbl>
    <w:p/>
    <w:p>
      <w:pPr>
        <w:pStyle w:val="4"/>
        <w:keepNext w:val="0"/>
        <w:keepLines w:val="0"/>
        <w:widowControl/>
        <w:suppressLineNumbers w:val="0"/>
        <w:spacing w:before="0" w:beforeAutospacing="0" w:after="0" w:afterAutospacing="0" w:line="572" w:lineRule="atLeast"/>
        <w:ind w:left="0" w:firstLine="0"/>
        <w:jc w:val="center"/>
        <w:rPr>
          <w:rFonts w:hint="default" w:ascii="Times New Roman" w:hAnsi="Times New Roman" w:cs="Times New Roman"/>
          <w:b w:val="0"/>
          <w:i w:val="0"/>
          <w:caps w:val="0"/>
          <w:color w:val="333333"/>
          <w:spacing w:val="0"/>
          <w:sz w:val="21"/>
          <w:szCs w:val="21"/>
        </w:rPr>
      </w:pPr>
      <w:r>
        <w:rPr>
          <w:rFonts w:hint="eastAsia" w:ascii="黑体" w:hAnsi="宋体" w:eastAsia="黑体" w:cs="黑体"/>
          <w:b w:val="0"/>
          <w:i w:val="0"/>
          <w:caps w:val="0"/>
          <w:color w:val="333333"/>
          <w:spacing w:val="0"/>
          <w:sz w:val="28"/>
          <w:szCs w:val="28"/>
          <w:lang w:eastAsia="zh-CN"/>
        </w:rPr>
        <w:t>连山壮族瑶族自治县水利</w:t>
      </w:r>
      <w:r>
        <w:rPr>
          <w:rFonts w:ascii="黑体" w:hAnsi="宋体" w:eastAsia="黑体" w:cs="黑体"/>
          <w:b w:val="0"/>
          <w:i w:val="0"/>
          <w:caps w:val="0"/>
          <w:color w:val="333333"/>
          <w:spacing w:val="0"/>
          <w:sz w:val="28"/>
          <w:szCs w:val="28"/>
        </w:rPr>
        <w:t>局</w:t>
      </w:r>
      <w:r>
        <w:rPr>
          <w:rFonts w:hint="default" w:ascii="Times New Roman" w:hAnsi="Times New Roman" w:cs="Times New Roman"/>
          <w:b w:val="0"/>
          <w:i w:val="0"/>
          <w:caps w:val="0"/>
          <w:color w:val="333333"/>
          <w:spacing w:val="0"/>
          <w:sz w:val="28"/>
          <w:szCs w:val="28"/>
        </w:rPr>
        <w:t>随机抽查结果（格式）</w:t>
      </w:r>
    </w:p>
    <w:p>
      <w:pPr>
        <w:pStyle w:val="4"/>
        <w:keepNext w:val="0"/>
        <w:keepLines w:val="0"/>
        <w:widowControl/>
        <w:suppressLineNumbers w:val="0"/>
        <w:spacing w:before="0" w:beforeAutospacing="0" w:after="0" w:afterAutospacing="0" w:line="572" w:lineRule="atLeast"/>
        <w:ind w:left="0" w:firstLine="0"/>
        <w:jc w:val="center"/>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val="0"/>
          <w:i w:val="0"/>
          <w:caps w:val="0"/>
          <w:color w:val="333333"/>
          <w:spacing w:val="0"/>
          <w:sz w:val="21"/>
          <w:szCs w:val="21"/>
        </w:rPr>
        <w:t> </w:t>
      </w:r>
    </w:p>
    <w:p>
      <w:pPr>
        <w:pStyle w:val="4"/>
        <w:keepNext w:val="0"/>
        <w:keepLines w:val="0"/>
        <w:widowControl/>
        <w:suppressLineNumbers w:val="0"/>
        <w:spacing w:before="0" w:beforeAutospacing="0" w:after="0" w:afterAutospacing="0" w:line="572" w:lineRule="atLeast"/>
        <w:ind w:left="0" w:firstLine="0"/>
        <w:jc w:val="left"/>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val="0"/>
          <w:i w:val="0"/>
          <w:caps w:val="0"/>
          <w:color w:val="333333"/>
          <w:spacing w:val="0"/>
          <w:sz w:val="21"/>
          <w:szCs w:val="21"/>
        </w:rPr>
        <w:t>抽查事项类别：                                                                    </w:t>
      </w:r>
      <w:r>
        <w:rPr>
          <w:rFonts w:hint="eastAsia" w:ascii="宋体" w:hAnsi="宋体" w:eastAsia="宋体" w:cs="宋体"/>
          <w:b w:val="0"/>
          <w:i w:val="0"/>
          <w:caps w:val="0"/>
          <w:color w:val="333333"/>
          <w:spacing w:val="0"/>
          <w:sz w:val="21"/>
          <w:szCs w:val="21"/>
        </w:rPr>
        <w:t>                  </w:t>
      </w:r>
      <w:r>
        <w:rPr>
          <w:rFonts w:hint="default" w:ascii="Times New Roman" w:hAnsi="Times New Roman" w:cs="Times New Roman"/>
          <w:b w:val="0"/>
          <w:i w:val="0"/>
          <w:caps w:val="0"/>
          <w:color w:val="333333"/>
          <w:spacing w:val="0"/>
          <w:sz w:val="21"/>
          <w:szCs w:val="21"/>
        </w:rPr>
        <w:t> 年  第   批（次）</w:t>
      </w:r>
    </w:p>
    <w:tbl>
      <w:tblPr>
        <w:tblW w:w="891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8"/>
        <w:gridCol w:w="1684"/>
        <w:gridCol w:w="1255"/>
        <w:gridCol w:w="983"/>
        <w:gridCol w:w="1294"/>
        <w:gridCol w:w="1481"/>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678" w:type="dxa"/>
            <w:tcBorders>
              <w:top w:val="single" w:color="000000" w:sz="4" w:space="0"/>
              <w:left w:val="single" w:color="000000" w:sz="4" w:space="0"/>
              <w:bottom w:val="single" w:color="000000" w:sz="4" w:space="0"/>
              <w:right w:val="single" w:color="000000" w:sz="4" w:space="0"/>
            </w:tcBorders>
            <w:shd w:val="clear"/>
            <w:vAlign w:val="center"/>
          </w:tcPr>
          <w:p>
            <w:pPr>
              <w:pStyle w:val="4"/>
              <w:keepNext w:val="0"/>
              <w:keepLines w:val="0"/>
              <w:widowControl/>
              <w:suppressLineNumbers w:val="0"/>
              <w:spacing w:before="0" w:beforeAutospacing="0" w:after="0" w:afterAutospacing="0" w:line="572" w:lineRule="atLeast"/>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序号</w:t>
            </w:r>
          </w:p>
        </w:tc>
        <w:tc>
          <w:tcPr>
            <w:tcW w:w="1684" w:type="dxa"/>
            <w:tcBorders>
              <w:top w:val="single" w:color="auto" w:sz="4" w:space="0"/>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572" w:lineRule="atLeast"/>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检查对象名称（姓名）</w:t>
            </w:r>
          </w:p>
        </w:tc>
        <w:tc>
          <w:tcPr>
            <w:tcW w:w="1255" w:type="dxa"/>
            <w:tcBorders>
              <w:top w:val="single" w:color="auto" w:sz="4" w:space="0"/>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572" w:lineRule="atLeast"/>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检查时间</w:t>
            </w:r>
          </w:p>
          <w:p>
            <w:pPr>
              <w:pStyle w:val="4"/>
              <w:keepNext w:val="0"/>
              <w:keepLines w:val="0"/>
              <w:widowControl/>
              <w:suppressLineNumbers w:val="0"/>
              <w:spacing w:before="0" w:beforeAutospacing="0" w:after="0" w:afterAutospacing="0" w:line="572" w:lineRule="atLeast"/>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（年月日）</w:t>
            </w:r>
          </w:p>
        </w:tc>
        <w:tc>
          <w:tcPr>
            <w:tcW w:w="983" w:type="dxa"/>
            <w:tcBorders>
              <w:top w:val="single" w:color="auto" w:sz="4" w:space="0"/>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572" w:lineRule="atLeast"/>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抽查结果</w:t>
            </w:r>
          </w:p>
        </w:tc>
        <w:tc>
          <w:tcPr>
            <w:tcW w:w="1294" w:type="dxa"/>
            <w:tcBorders>
              <w:top w:val="single" w:color="auto" w:sz="4" w:space="0"/>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572" w:lineRule="atLeast"/>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查处情况</w:t>
            </w:r>
          </w:p>
        </w:tc>
        <w:tc>
          <w:tcPr>
            <w:tcW w:w="1481" w:type="dxa"/>
            <w:tcBorders>
              <w:top w:val="single" w:color="auto" w:sz="4" w:space="0"/>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572" w:lineRule="atLeast"/>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批准文件名称</w:t>
            </w:r>
          </w:p>
        </w:tc>
        <w:tc>
          <w:tcPr>
            <w:tcW w:w="1544" w:type="dxa"/>
            <w:tcBorders>
              <w:top w:val="single" w:color="auto" w:sz="4" w:space="0"/>
              <w:left w:val="nil"/>
              <w:bottom w:val="single" w:color="auto" w:sz="4" w:space="0"/>
              <w:right w:val="single" w:color="auto" w:sz="4" w:space="0"/>
            </w:tcBorders>
            <w:shd w:val="clear"/>
            <w:vAlign w:val="center"/>
          </w:tcPr>
          <w:p>
            <w:pPr>
              <w:pStyle w:val="4"/>
              <w:keepNext w:val="0"/>
              <w:keepLines w:val="0"/>
              <w:widowControl/>
              <w:suppressLineNumbers w:val="0"/>
              <w:spacing w:before="0" w:beforeAutospacing="0" w:after="0" w:afterAutospacing="0" w:line="572" w:lineRule="atLeast"/>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批准文号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678" w:type="dxa"/>
            <w:tcBorders>
              <w:top w:val="nil"/>
              <w:left w:val="single" w:color="auto" w:sz="4" w:space="0"/>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684"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255"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983"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294"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481"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544"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678" w:type="dxa"/>
            <w:tcBorders>
              <w:top w:val="nil"/>
              <w:left w:val="single" w:color="auto" w:sz="4" w:space="0"/>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684"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255"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983"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294"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481"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544"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c>
          <w:tcPr>
            <w:tcW w:w="678" w:type="dxa"/>
            <w:tcBorders>
              <w:top w:val="nil"/>
              <w:left w:val="single" w:color="auto" w:sz="4" w:space="0"/>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684"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255"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983"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294"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481"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c>
          <w:tcPr>
            <w:tcW w:w="1544" w:type="dxa"/>
            <w:tcBorders>
              <w:top w:val="nil"/>
              <w:left w:val="nil"/>
              <w:bottom w:val="single" w:color="auto" w:sz="4" w:space="0"/>
              <w:right w:val="single" w:color="auto" w:sz="4" w:space="0"/>
            </w:tcBorders>
            <w:shd w:val="clear"/>
            <w:vAlign w:val="top"/>
          </w:tcPr>
          <w:p>
            <w:pPr>
              <w:pStyle w:val="4"/>
              <w:keepNext w:val="0"/>
              <w:keepLines w:val="0"/>
              <w:widowControl/>
              <w:suppressLineNumbers w:val="0"/>
              <w:spacing w:before="0" w:beforeAutospacing="0" w:after="0" w:afterAutospacing="0" w:line="572" w:lineRule="atLeast"/>
              <w:jc w:val="left"/>
              <w:rPr>
                <w:rFonts w:hint="default" w:ascii="Times New Roman" w:hAnsi="Times New Roman" w:cs="Times New Roman"/>
                <w:sz w:val="21"/>
                <w:szCs w:val="21"/>
              </w:rPr>
            </w:pPr>
            <w:r>
              <w:rPr>
                <w:rFonts w:hint="default" w:ascii="Times New Roman" w:hAnsi="Times New Roman" w:eastAsia="宋体" w:cs="Times New Roman"/>
                <w:b w:val="0"/>
                <w:i w:val="0"/>
                <w:caps w:val="0"/>
                <w:color w:val="333333"/>
                <w:spacing w:val="0"/>
                <w:sz w:val="21"/>
                <w:szCs w:val="21"/>
                <w:bdr w:val="none" w:color="auto" w:sz="0" w:space="0"/>
              </w:rPr>
              <w:t> </w:t>
            </w:r>
          </w:p>
        </w:tc>
      </w:tr>
    </w:tbl>
    <w:p>
      <w:pPr>
        <w:pStyle w:val="4"/>
        <w:keepNext w:val="0"/>
        <w:keepLines w:val="0"/>
        <w:widowControl/>
        <w:suppressLineNumbers w:val="0"/>
        <w:spacing w:before="0" w:beforeAutospacing="0" w:after="0" w:afterAutospacing="0" w:line="572" w:lineRule="atLeast"/>
        <w:ind w:left="0" w:firstLine="0"/>
        <w:jc w:val="left"/>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b w:val="0"/>
          <w:i w:val="0"/>
          <w:caps w:val="0"/>
          <w:color w:val="333333"/>
          <w:spacing w:val="0"/>
          <w:sz w:val="21"/>
          <w:szCs w:val="21"/>
        </w:rPr>
        <w:t>备注：对行政许可对象的抽查结果，应填写“批准文件名称”和“批准文号”两栏。</w:t>
      </w:r>
    </w:p>
    <w:p/>
    <w:sectPr>
      <w:footerReference r:id="rId3" w:type="default"/>
      <w:pgSz w:w="11906" w:h="16838"/>
      <w:pgMar w:top="1440" w:right="1576" w:bottom="1440" w:left="151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F6412"/>
    <w:rsid w:val="27A76FA2"/>
    <w:rsid w:val="58AF64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2019-03-27T02:02:00Z</dcterms:created>
  <dc:creator>QQ14182883181418288318</dc:creator>
  <cp:lastModifiedBy>QQ14182883181418288318</cp:lastModifiedBy>
  <dcterms:modified xsi:type="dcterms:W3CDTF">2019-03-27T02:15:48Z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