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关于做好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2022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年秋季学期义务教育学校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招生工作的通知</w:t>
      </w:r>
    </w:p>
    <w:p>
      <w:pPr>
        <w:rPr>
          <w:rFonts w:hint="eastAsia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年秋季学期我县义务教育阶段小学和初中的招生工作，现提出如下工作意见，请遵照执行。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习近平新时代中国特色社会主义思想为指导，深入学习全国、全省教育大会精神，全面落实《中华人民共和国义务教育法》，根据《广东省教育厅关于进一步规范普通中小学招生入学工作的指导意见》（粤教基〔2020〕3号）的要求，依法保障适龄儿童少年免试、就近接受义务教育的权利，促进教育公平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二、招生原则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（一）坚持“免试、就近或相对就近”的原则。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（二）坚持“公开、公平、公正”的原则。全面推行 “阳光招生”，加强招生信息公开，自觉接受社会监督。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（三）坚持“面向全体，促进学生全面发展”的原则。保障残疾儿童少年和其他特殊人群子女接受义务教育，做到应入尽入，同等待遇。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（四）实行均衡编班，推动素质教育，提高教育教学质量。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（一）小学：各小学招收具有本县户籍年满6周岁(201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年8月31日以前出生)的适龄儿童，不得招收不足年龄的儿童入学。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县民族小学四年级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民族班面向乡镇招收两个班共80人,连山第一小学四、五、六年级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民族班计划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面向乡镇各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一个班共120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人，招生办法另行通知。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1.连山第一小学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招生范围：实行相对“就近入学”的原则进行划片招生，具体招生范围是民中桥往西面片区学生（民中桥直对的市场路往西面片区，如金山社区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和成吉社区的西部区域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建筑公司、民政局、旧县府、公路局、沙坪村、新村、甲科村、布田村等范围）到县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第一小学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入学就读。招收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个教学班，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225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连山第一小学一至六年级各招生5个教学班（含四至六年级民族班），民族小学和佛山希望小学县城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民中桥往西面片区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居住的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原则上到连山第一小学就读，详细招生方案另行发文。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4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pacing w:val="-74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1063625</wp:posOffset>
            </wp:positionH>
            <wp:positionV relativeFrom="paragraph">
              <wp:posOffset>1727835</wp:posOffset>
            </wp:positionV>
            <wp:extent cx="172085" cy="213360"/>
            <wp:effectExtent l="0" t="0" r="18415" b="15240"/>
            <wp:wrapTight wrapText="bothSides">
              <wp:wrapPolygon>
                <wp:start x="0" y="0"/>
                <wp:lineTo x="0" y="19929"/>
                <wp:lineTo x="19129" y="19929"/>
                <wp:lineTo x="19129" y="0"/>
                <wp:lineTo x="0" y="0"/>
              </wp:wrapPolygon>
            </wp:wrapTight>
            <wp:docPr id="1" name="图片 1" descr="lALPBFuNdJ0or8s0Lg_46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LPBFuNdJ0or8s0Lg_46_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08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pacing w:val="-74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县民族小学一年级招生范围：实行相对“就近入学”的原则进行划片招生，具体招生范围是吉田镇石溪村委会(含丹竹、石头塘、社下、新古、石古、良溪、佛子村等）以及学校附近范围的丛源小区、龙山小区、大旭移民村、太阳村和木</w:t>
      </w:r>
      <w:r>
        <w:rPr>
          <w:rFonts w:hint="eastAsia" w:ascii="仿宋_GB2312" w:hAnsi="仿宋_GB2312" w:eastAsia="仿宋_GB2312" w:cs="仿宋_GB2312"/>
          <w:color w:val="auto"/>
          <w:spacing w:val="-74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村（部分）的适龄学生到县民族小学入学就读。招收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个教学班，1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44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pacing w:val="-74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1264285</wp:posOffset>
            </wp:positionV>
            <wp:extent cx="172085" cy="213360"/>
            <wp:effectExtent l="0" t="0" r="18415" b="15240"/>
            <wp:wrapTight wrapText="bothSides">
              <wp:wrapPolygon>
                <wp:start x="0" y="0"/>
                <wp:lineTo x="0" y="19929"/>
                <wp:lineTo x="19129" y="19929"/>
                <wp:lineTo x="19129" y="0"/>
                <wp:lineTo x="0" y="0"/>
              </wp:wrapPolygon>
            </wp:wrapTight>
            <wp:docPr id="3" name="图片 3" descr="lALPBFuNdJ0or8s0Lg_46_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ALPBFuNdJ0or8s0Lg_46_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1873250" y="8113395"/>
                      <a:ext cx="172085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.佛山希望小学一年级招生范围：原则上招收县城金山社区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成吉社区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民中桥往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东至双龙路西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面片区的学生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、连山林场以及吉田镇的高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村委会、东风村委会义生村和附近的木村范围内的部分适龄学生入学。招收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个教学班，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（二）初中：招收具有本县户籍的今年小学毕业生。连山民族中学计划招生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民族小学238人、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佛山希望小学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416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人、沙田小学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上草小学63人、大富小学36人，5所小学的六年级毕业班全部到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连山民族中学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就读（连山中学不再招收七年级学生）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（三）各中小学校同时招收符合政策条件的进城务工人员随迁子女入学。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各学校要对招生范围的适龄儿童、少年的情况进行摸底统计，保证入学率达到100%。要做好视力、听力、智力三类适龄残疾儿童少年的入学工作，保证入学率达到97%以上，对义务教育阶段适龄重度残疾儿童少年实施“送教上门”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加强领导，依法依规办学。做好《义务教育法》的宣传工作；严格执行《义务教育法》和广东省《规范义务教育办学行为六项规定》的要求，不得提前招生，各校要在8月下旬方可进行新生报名注册，确保招生工作平稳顺利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（三）严格均衡编班,推动素质教育。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（四）严禁以各种理由拒招义务教育适龄儿童少年入学，对违反《义务教育法》和《规范义务教育办学行为六项规定》要求的将通报批评,造成不良社会影响的要追究学校领导的责任。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附件：连山壮族瑶族自治县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年秋季学期中小学招生计划表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　　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　　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　　　　                   连山壮族瑶族自治县教育局 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8942070" cy="5358765"/>
            <wp:effectExtent l="0" t="0" r="11430" b="13335"/>
            <wp:docPr id="2" name="图片 2" descr="政务微信截图_1652347144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政务微信截图_16523471442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2070" cy="53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62250"/>
    <w:rsid w:val="045454B0"/>
    <w:rsid w:val="07BB6A9C"/>
    <w:rsid w:val="0B984F5C"/>
    <w:rsid w:val="10CE601A"/>
    <w:rsid w:val="13AE40C8"/>
    <w:rsid w:val="24B50025"/>
    <w:rsid w:val="279718B7"/>
    <w:rsid w:val="294B10A5"/>
    <w:rsid w:val="2E4F3C2B"/>
    <w:rsid w:val="3328176C"/>
    <w:rsid w:val="3659316E"/>
    <w:rsid w:val="3EC32DAE"/>
    <w:rsid w:val="428A41F6"/>
    <w:rsid w:val="44702D59"/>
    <w:rsid w:val="4CF41AAC"/>
    <w:rsid w:val="4FB62250"/>
    <w:rsid w:val="56A456AC"/>
    <w:rsid w:val="59FB21DC"/>
    <w:rsid w:val="65C66331"/>
    <w:rsid w:val="66DF048B"/>
    <w:rsid w:val="69E96C18"/>
    <w:rsid w:val="6B5F4C9F"/>
    <w:rsid w:val="7CD46920"/>
    <w:rsid w:val="7EE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2021-02-25T01:13:00Z</dcterms:created>
  <dc:creator>马潜福</dc:creator>
  <cp:lastModifiedBy>jyj102</cp:lastModifiedBy>
  <cp:lastPrinted>2021-03-22T02:09:00Z</cp:lastPrinted>
  <dcterms:modified xsi:type="dcterms:W3CDTF">2022-05-13T02:40:15Z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E6234EE85FA9497C9FCF1FEF7742FE87</vt:lpwstr>
  </property>
</Properties>
</file>