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连山辖区检验检测机构</w:t>
      </w:r>
    </w:p>
    <w:p>
      <w:pPr>
        <w:spacing w:line="600" w:lineRule="exact"/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监督检查结果公布</w:t>
      </w:r>
    </w:p>
    <w:p>
      <w:pPr>
        <w:ind w:firstLine="1920" w:firstLineChars="400"/>
        <w:rPr>
          <w:rFonts w:hint="eastAsia" w:ascii="黑体" w:hAnsi="黑体" w:eastAsia="黑体" w:cs="黑体"/>
          <w:sz w:val="48"/>
          <w:szCs w:val="48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3"/>
        <w:tblW w:w="9255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2"/>
        <w:gridCol w:w="1551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被检查单位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监督检查结论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连山壮族瑶族自治县恒安机动车检测有限公司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格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连山壮族瑶族自治县环境监测站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格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连山壮族瑶族自治县疾病预防控制中心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格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连山壮族瑶族自治县市场监督管理局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2021年10月1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1DFC"/>
    <w:rsid w:val="3FE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2021-10-18T09:01:00Z</dcterms:created>
  <dc:creator>房永辉</dc:creator>
  <cp:lastModifiedBy>房永辉</cp:lastModifiedBy>
  <dcterms:modified xsi:type="dcterms:W3CDTF">2021-10-18T09:02:22Z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