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6</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pPr>
        <w:spacing w:line="600" w:lineRule="exact"/>
        <w:jc w:val="center"/>
        <w:rPr>
          <w:rFonts w:eastAsia="方正小标宋简体"/>
          <w:spacing w:val="-1"/>
          <w:position w:val="1"/>
          <w:sz w:val="44"/>
          <w:szCs w:val="44"/>
        </w:rPr>
      </w:pPr>
      <w:r>
        <w:rPr>
          <w:rFonts w:hint="eastAsia" w:eastAsia="方正小标宋简体"/>
          <w:spacing w:val="-1"/>
          <w:position w:val="1"/>
          <w:sz w:val="44"/>
          <w:szCs w:val="44"/>
          <w:lang w:val="en-US" w:eastAsia="zh-CN"/>
        </w:rPr>
        <w:t>连山壮族瑶族自治县家用燃气灶</w:t>
      </w:r>
      <w:r>
        <w:rPr>
          <w:rFonts w:eastAsia="方正小标宋简体"/>
          <w:spacing w:val="-1"/>
          <w:position w:val="1"/>
          <w:sz w:val="44"/>
          <w:szCs w:val="44"/>
        </w:rPr>
        <w:t>产品</w:t>
      </w:r>
    </w:p>
    <w:p>
      <w:pPr>
        <w:spacing w:line="600" w:lineRule="exact"/>
        <w:jc w:val="center"/>
        <w:rPr>
          <w:rFonts w:eastAsia="方正小标宋简体"/>
          <w:spacing w:val="-1"/>
          <w:position w:val="1"/>
          <w:sz w:val="44"/>
          <w:szCs w:val="44"/>
        </w:rPr>
      </w:pPr>
      <w:r>
        <w:rPr>
          <w:rFonts w:eastAsia="方正小标宋简体"/>
          <w:spacing w:val="-1"/>
          <w:position w:val="1"/>
          <w:sz w:val="44"/>
          <w:szCs w:val="44"/>
        </w:rPr>
        <w:t>质量监督抽查实施细则</w:t>
      </w:r>
    </w:p>
    <w:p>
      <w:pPr>
        <w:widowControl/>
        <w:ind w:firstLine="640" w:firstLineChars="200"/>
        <w:jc w:val="left"/>
        <w:rPr>
          <w:rFonts w:ascii="仿宋" w:hAnsi="仿宋" w:eastAsia="仿宋" w:cs="仿宋"/>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仿宋"/>
          <w:b w:val="0"/>
          <w:bCs/>
          <w:color w:val="000000"/>
          <w:kern w:val="0"/>
          <w:sz w:val="32"/>
          <w:szCs w:val="32"/>
          <w:lang w:bidi="ar"/>
        </w:rPr>
      </w:pPr>
      <w:r>
        <w:rPr>
          <w:rFonts w:ascii="黑体" w:hAnsi="黑体" w:eastAsia="黑体" w:cs="仿宋"/>
          <w:b w:val="0"/>
          <w:bCs/>
          <w:color w:val="000000"/>
          <w:kern w:val="0"/>
          <w:sz w:val="32"/>
          <w:szCs w:val="32"/>
          <w:lang w:bidi="ar"/>
        </w:rPr>
        <w:t>一、抽样方法</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以随机抽样的方式在被抽查市场主体的待销产品中抽取。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随机数一般可使用随机数表等方法产生。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000000"/>
          <w:kern w:val="0"/>
          <w:sz w:val="32"/>
          <w:szCs w:val="32"/>
          <w:lang w:bidi="ar"/>
        </w:rPr>
      </w:pPr>
      <w:r>
        <w:rPr>
          <w:rFonts w:hint="eastAsia" w:ascii="仿宋_GB2312" w:hAnsi="仿宋_GB2312" w:eastAsia="仿宋_GB2312" w:cs="仿宋_GB2312"/>
          <w:color w:val="000000"/>
          <w:kern w:val="0"/>
          <w:sz w:val="32"/>
          <w:szCs w:val="32"/>
          <w:lang w:bidi="ar"/>
        </w:rPr>
        <w:t>抽查数量：每款产品抽取2组样本，第1组用于检验，第2组用于备样。具体抽样数量和方法如下：</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998"/>
        <w:gridCol w:w="178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39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产品名称</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第1组数量</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3998"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家用燃气灶</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1台</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1台</w:t>
            </w:r>
          </w:p>
        </w:tc>
      </w:tr>
    </w:tbl>
    <w:p>
      <w:pPr>
        <w:widowControl/>
        <w:ind w:firstLine="640" w:firstLineChars="200"/>
        <w:jc w:val="left"/>
        <w:rPr>
          <w:rFonts w:hint="eastAsia" w:ascii="黑体" w:hAnsi="黑体" w:eastAsia="黑体" w:cs="仿宋"/>
          <w:b w:val="0"/>
          <w:bCs/>
          <w:color w:val="000000"/>
          <w:kern w:val="0"/>
          <w:sz w:val="32"/>
          <w:szCs w:val="32"/>
          <w:lang w:bidi="ar"/>
        </w:rPr>
      </w:pPr>
      <w:r>
        <w:rPr>
          <w:rFonts w:hint="eastAsia" w:ascii="黑体" w:hAnsi="黑体" w:eastAsia="黑体" w:cs="仿宋"/>
          <w:b w:val="0"/>
          <w:bCs/>
          <w:color w:val="000000"/>
          <w:kern w:val="0"/>
          <w:sz w:val="32"/>
          <w:szCs w:val="32"/>
          <w:lang w:bidi="ar"/>
        </w:rPr>
        <w:t>二、检验依据</w:t>
      </w:r>
    </w:p>
    <w:tbl>
      <w:tblPr>
        <w:tblStyle w:val="4"/>
        <w:tblW w:w="83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75"/>
        <w:gridCol w:w="3688"/>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blHeader/>
          <w:jc w:val="center"/>
        </w:trPr>
        <w:tc>
          <w:tcPr>
            <w:tcW w:w="888" w:type="dxa"/>
            <w:noWrap w:val="0"/>
            <w:vAlign w:val="center"/>
          </w:tcPr>
          <w:p>
            <w:pPr>
              <w:snapToGrid w:val="0"/>
              <w:spacing w:line="3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5363" w:type="dxa"/>
            <w:gridSpan w:val="2"/>
            <w:noWrap w:val="0"/>
            <w:vAlign w:val="center"/>
          </w:tcPr>
          <w:p>
            <w:pPr>
              <w:snapToGrid w:val="0"/>
              <w:spacing w:line="3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检验项目</w:t>
            </w:r>
          </w:p>
        </w:tc>
        <w:tc>
          <w:tcPr>
            <w:tcW w:w="2078" w:type="dxa"/>
            <w:noWrap w:val="0"/>
            <w:vAlign w:val="center"/>
          </w:tcPr>
          <w:p>
            <w:pPr>
              <w:snapToGrid w:val="0"/>
              <w:spacing w:line="3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363" w:type="dxa"/>
            <w:gridSpan w:val="2"/>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气密性</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363" w:type="dxa"/>
            <w:gridSpan w:val="2"/>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热负荷</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75" w:type="dxa"/>
            <w:vMerge w:val="restart"/>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燃烧工况</w:t>
            </w:r>
          </w:p>
        </w:tc>
        <w:tc>
          <w:tcPr>
            <w:tcW w:w="368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离焰</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675" w:type="dxa"/>
            <w:vMerge w:val="continue"/>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368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熄火</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75" w:type="dxa"/>
            <w:vMerge w:val="continue"/>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368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回火</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675" w:type="dxa"/>
            <w:vMerge w:val="continue"/>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368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燃烧噪声</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675" w:type="dxa"/>
            <w:vMerge w:val="continue"/>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368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熄火噪声</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675" w:type="dxa"/>
            <w:vMerge w:val="continue"/>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368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干烟气中CO浓度（室内型）</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5363" w:type="dxa"/>
            <w:gridSpan w:val="2"/>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温升—操作时手必须接触的部位</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363" w:type="dxa"/>
            <w:gridSpan w:val="2"/>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熄火保护装置—闭阀时间</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675" w:type="dxa"/>
            <w:vMerge w:val="restart"/>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结构的一般要求</w:t>
            </w:r>
          </w:p>
        </w:tc>
        <w:tc>
          <w:tcPr>
            <w:tcW w:w="368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燃气导管</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675" w:type="dxa"/>
            <w:vMerge w:val="continue"/>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368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燃烧器的熄火保护装置</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5363" w:type="dxa"/>
            <w:gridSpan w:val="2"/>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热效率</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30720—2014</w:t>
            </w:r>
          </w:p>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5363" w:type="dxa"/>
            <w:gridSpan w:val="2"/>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耐热冲击</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5363" w:type="dxa"/>
            <w:gridSpan w:val="2"/>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耐重力冲击</w:t>
            </w:r>
          </w:p>
        </w:tc>
        <w:tc>
          <w:tcPr>
            <w:tcW w:w="2078" w:type="dxa"/>
            <w:noWrap w:val="0"/>
            <w:vAlign w:val="center"/>
          </w:tcPr>
          <w:p>
            <w:pPr>
              <w:snapToGrid w:val="0"/>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329" w:type="dxa"/>
            <w:gridSpan w:val="4"/>
            <w:noWrap w:val="0"/>
            <w:vAlign w:val="center"/>
          </w:tcPr>
          <w:p>
            <w:pPr>
              <w:snapToGrid w:val="0"/>
              <w:spacing w:line="3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 温升</w:t>
            </w:r>
            <w:r>
              <w:rPr>
                <w:rFonts w:hint="eastAsia" w:asciiTheme="minorEastAsia" w:hAnsiTheme="minorEastAsia" w:eastAsiaTheme="minorEastAsia" w:cstheme="minorEastAsia"/>
                <w:bCs/>
                <w:sz w:val="24"/>
                <w:szCs w:val="24"/>
              </w:rPr>
              <w:t>的检验</w:t>
            </w:r>
            <w:r>
              <w:rPr>
                <w:rFonts w:hint="eastAsia" w:asciiTheme="minorEastAsia" w:hAnsiTheme="minorEastAsia" w:eastAsiaTheme="minorEastAsia" w:cstheme="minorEastAsia"/>
                <w:sz w:val="24"/>
                <w:szCs w:val="24"/>
              </w:rPr>
              <w:t>项目为GB 16410—2020中表3序号1；</w:t>
            </w:r>
          </w:p>
          <w:p>
            <w:pPr>
              <w:snapToGrid w:val="0"/>
              <w:spacing w:line="3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熄火保护装置</w:t>
            </w:r>
            <w:r>
              <w:rPr>
                <w:rFonts w:hint="eastAsia" w:asciiTheme="minorEastAsia" w:hAnsiTheme="minorEastAsia" w:eastAsiaTheme="minorEastAsia" w:cstheme="minorEastAsia"/>
                <w:bCs/>
                <w:sz w:val="24"/>
                <w:szCs w:val="24"/>
              </w:rPr>
              <w:t>的检验</w:t>
            </w:r>
            <w:r>
              <w:rPr>
                <w:rFonts w:hint="eastAsia" w:asciiTheme="minorEastAsia" w:hAnsiTheme="minorEastAsia" w:eastAsiaTheme="minorEastAsia" w:cstheme="minorEastAsia"/>
                <w:sz w:val="24"/>
                <w:szCs w:val="24"/>
              </w:rPr>
              <w:t>项目为GB 16410—2020中5.2.8.1 b）。</w:t>
            </w:r>
          </w:p>
        </w:tc>
      </w:tr>
    </w:tbl>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执行企业标准、团体标准、地方标准的产品，检验项目参照上述内容执行。</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黑体"/>
          <w:color w:val="000000"/>
          <w:sz w:val="32"/>
          <w:szCs w:val="32"/>
        </w:rPr>
      </w:pPr>
      <w:r>
        <w:rPr>
          <w:rFonts w:ascii="Times New Roman" w:hAnsi="Times New Roman" w:eastAsia="黑体"/>
          <w:color w:val="000000"/>
          <w:sz w:val="32"/>
          <w:szCs w:val="32"/>
        </w:rPr>
        <w:t>三、判定规则</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（一）依据标准</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GB 16410—2020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家用燃气灶具</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16"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spacing w:val="-6"/>
          <w:kern w:val="0"/>
          <w:sz w:val="32"/>
          <w:szCs w:val="32"/>
          <w:lang w:bidi="ar"/>
        </w:rPr>
        <w:t xml:space="preserve">GB 30720—2014 </w:t>
      </w:r>
      <w:r>
        <w:rPr>
          <w:rFonts w:hint="eastAsia" w:ascii="仿宋_GB2312" w:hAnsi="仿宋_GB2312" w:eastAsia="仿宋_GB2312" w:cs="仿宋_GB2312"/>
          <w:color w:val="000000"/>
          <w:spacing w:val="-6"/>
          <w:kern w:val="0"/>
          <w:sz w:val="32"/>
          <w:szCs w:val="32"/>
          <w:lang w:eastAsia="zh-CN" w:bidi="ar"/>
        </w:rPr>
        <w:t>《</w:t>
      </w:r>
      <w:r>
        <w:rPr>
          <w:rFonts w:hint="eastAsia" w:ascii="仿宋_GB2312" w:hAnsi="仿宋_GB2312" w:eastAsia="仿宋_GB2312" w:cs="仿宋_GB2312"/>
          <w:color w:val="000000"/>
          <w:spacing w:val="-6"/>
          <w:kern w:val="0"/>
          <w:sz w:val="32"/>
          <w:szCs w:val="32"/>
          <w:lang w:bidi="ar"/>
        </w:rPr>
        <w:t>家用燃气灶具能效限定值及能效等级</w:t>
      </w:r>
      <w:r>
        <w:rPr>
          <w:rFonts w:hint="eastAsia" w:ascii="仿宋_GB2312" w:hAnsi="仿宋_GB2312" w:eastAsia="仿宋_GB2312" w:cs="仿宋_GB2312"/>
          <w:color w:val="000000"/>
          <w:spacing w:val="-6"/>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现行有效的企业标准、团体标准、地方标准及产品明示质量要求。</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lang w:eastAsia="zh-CN"/>
        </w:rPr>
        <w:t>二</w:t>
      </w:r>
      <w:r>
        <w:rPr>
          <w:rFonts w:ascii="Times New Roman" w:hAnsi="Times New Roman" w:eastAsia="楷体_GB2312"/>
          <w:color w:val="000000"/>
          <w:sz w:val="32"/>
          <w:szCs w:val="32"/>
        </w:rPr>
        <w:t>）判定原则</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经检验，检验项目全部合格，判定为抽取的样本所检项目未检出不合格；检验项目中任一项或一项以上不合格，判定为被抽查产品不合格；</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ascii="仿宋" w:hAnsi="仿宋" w:eastAsia="仿宋" w:cs="仿宋"/>
          <w:color w:val="000000"/>
          <w:kern w:val="0"/>
          <w:sz w:val="32"/>
          <w:szCs w:val="32"/>
          <w:lang w:bidi="ar"/>
        </w:rPr>
        <w:t>当被检样品明示的质量要求优于监督抽查实施细则中</w:t>
      </w:r>
      <w:r>
        <w:rPr>
          <w:rFonts w:ascii="Times New Roman" w:hAnsi="Times New Roman" w:eastAsia="仿宋_GB2312"/>
          <w:sz w:val="32"/>
          <w:szCs w:val="32"/>
        </w:rPr>
        <w:t>依据的标准要求时，应按被检样品明示的质量要求判定；</w:t>
      </w:r>
    </w:p>
    <w:p>
      <w:pPr>
        <w:pStyle w:val="6"/>
        <w:keepNext w:val="0"/>
        <w:keepLines w:val="0"/>
        <w:pageBreakBefore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当被检样品明示的质量要求劣于或不包含监督抽查实施细则中依据的强制性标准要求时，应按照强制性标准要求判定；</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当被检样品明示的质量要求不包含监督抽查实施细则中依据的推荐性标准要求时，该指标不参与判定，但应在检验报告中作出说明；</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当被检样品未能提供有效的企业标准时，按相关国家或行业标准进行判定；</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hint="eastAsia" w:ascii="Times New Roman" w:hAnsi="Times New Roman" w:eastAsia="仿宋_GB2312"/>
          <w:sz w:val="32"/>
          <w:szCs w:val="32"/>
        </w:rPr>
      </w:pPr>
      <w:r>
        <w:rPr>
          <w:rFonts w:ascii="Times New Roman" w:hAnsi="Times New Roman" w:eastAsia="仿宋_GB2312"/>
          <w:sz w:val="32"/>
          <w:szCs w:val="32"/>
        </w:rPr>
        <w:t>按照产品质量相关法律法规的规定判定</w:t>
      </w:r>
      <w:r>
        <w:rPr>
          <w:rFonts w:hint="eastAsia" w:ascii="Times New Roman" w:hAnsi="Times New Roman" w:eastAsia="仿宋_GB2312"/>
          <w:sz w:val="32"/>
          <w:szCs w:val="32"/>
        </w:rPr>
        <w:t>；</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sz w:val="32"/>
          <w:szCs w:val="32"/>
          <w:lang w:bidi="ar"/>
        </w:rPr>
      </w:pPr>
      <w:r>
        <w:rPr>
          <w:rFonts w:ascii="Times New Roman" w:hAnsi="Times New Roman" w:eastAsia="仿宋_GB2312"/>
          <w:sz w:val="32"/>
          <w:szCs w:val="32"/>
        </w:rPr>
        <w:t>检验中发现因样品失效或者其他原因致使检验无法进行的，检验人员应如实记录，并提供相关证明材料，报送组织监督抽查的市场监管部门。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2023E"/>
    <w:rsid w:val="4335194C"/>
    <w:rsid w:val="44F2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Plain Text"/>
    <w:basedOn w:val="1"/>
    <w:qFormat/>
    <w:uiPriority w:val="0"/>
    <w:pPr>
      <w:widowControl w:val="0"/>
      <w:jc w:val="both"/>
    </w:pPr>
    <w:rPr>
      <w:rFonts w:ascii="宋体" w:hAnsi="Courier New" w:eastAsia="仿宋_GB2312" w:cs="Times New Roman"/>
      <w:kern w:val="2"/>
      <w:sz w:val="32"/>
      <w:szCs w:val="24"/>
      <w:lang w:val="en-US" w:eastAsia="zh-CN" w:bidi="ar-SA"/>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2025-09-18T03:45:00Z</dcterms:created>
  <dc:creator>李楠</dc:creator>
  <cp:lastModifiedBy>李楠</cp:lastModifiedBy>
  <dcterms:modified xsi:type="dcterms:W3CDTF">2025-09-18T08:37:37Z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