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pStyle w:val="6"/>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40"/>
        </w:rPr>
      </w:pPr>
    </w:p>
    <w:p>
      <w:pPr>
        <w:pStyle w:val="6"/>
        <w:rPr>
          <w:rFonts w:hint="eastAsia"/>
          <w:sz w:val="40"/>
        </w:rPr>
      </w:pPr>
      <w:r>
        <w:rPr>
          <w:rFonts w:hint="eastAsia"/>
          <w:sz w:val="40"/>
        </w:rPr>
        <w:t>连山壮族瑶族自治县玩具产品</w:t>
      </w:r>
    </w:p>
    <w:p>
      <w:pPr>
        <w:pStyle w:val="6"/>
        <w:rPr>
          <w:sz w:val="40"/>
        </w:rPr>
      </w:pPr>
      <w:r>
        <w:rPr>
          <w:rFonts w:hint="eastAsia"/>
          <w:sz w:val="40"/>
        </w:rPr>
        <w:t>质量监督抽查实施细则</w:t>
      </w:r>
    </w:p>
    <w:p>
      <w:pPr>
        <w:adjustRightInd w:val="0"/>
        <w:snapToGrid w:val="0"/>
        <w:spacing w:line="440" w:lineRule="exact"/>
        <w:jc w:val="center"/>
        <w:rPr>
          <w:rFonts w:eastAsia="方正小标宋简体"/>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抽样方法</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以随机抽样的方式在被抽查市场主体的待销产品中抽取。</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每一抽检批次抽样数量3个，其中2个作为检验样品，1个作为备用样品。</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检验依据</w:t>
      </w:r>
    </w:p>
    <w:tbl>
      <w:tblPr>
        <w:tblStyle w:val="4"/>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4112"/>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1163" w:type="dxa"/>
            <w:vAlign w:val="center"/>
          </w:tcPr>
          <w:p>
            <w:pPr>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112" w:type="dxa"/>
            <w:vAlign w:val="center"/>
          </w:tcPr>
          <w:p>
            <w:pPr>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3899" w:type="dxa"/>
            <w:vAlign w:val="center"/>
          </w:tcPr>
          <w:p>
            <w:pPr>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一、机械与物理性能（正常使用）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小零件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挤压玩具、摇铃及类似玩具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毛球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学前玩偶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玩具奶嘴</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气球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弹珠</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半球形玩具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可触及的金属或玻璃边缘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功能性锐利边缘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bookmarkStart w:id="0" w:name="_Hlk28281258"/>
            <w:r>
              <w:rPr>
                <w:rFonts w:hint="eastAsia" w:asciiTheme="minorEastAsia" w:hAnsiTheme="minorEastAsia" w:eastAsiaTheme="minorEastAsia" w:cstheme="minorEastAsia"/>
                <w:bCs/>
                <w:sz w:val="24"/>
                <w:szCs w:val="24"/>
              </w:rPr>
              <w:t>13</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金属玩具边缘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模塑玩具边缘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外露螺栓或螺纹杆的边缘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可触及的锐利尖端</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功能性锐利尖端</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w:t>
            </w:r>
          </w:p>
        </w:tc>
        <w:tc>
          <w:tcPr>
            <w:tcW w:w="4112" w:type="dxa"/>
            <w:vAlign w:val="center"/>
          </w:tcPr>
          <w:p>
            <w:pPr>
              <w:spacing w:line="300" w:lineRule="exact"/>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木制玩具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突出部件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金属丝和杆件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用于包装或玩具中的塑料袋或塑料薄膜</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18个月以下儿童使用的玩具上的</w:t>
            </w:r>
          </w:p>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绳索和弹性绳</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18个月以下儿童使用的玩具上的自回缩绳</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36个月以下儿童使用的拖拉玩具上的绳索或弹性绳</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玩具袋上的绳索</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26</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童床或游戏围栏上的悬挂玩具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27</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童床上的健身玩具及类似玩具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28</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飞行玩具的绳索、细绳或线</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29</w:t>
            </w:r>
          </w:p>
        </w:tc>
        <w:tc>
          <w:tcPr>
            <w:tcW w:w="4112" w:type="dxa"/>
            <w:vAlign w:val="center"/>
          </w:tcPr>
          <w:p>
            <w:pPr>
              <w:pStyle w:val="3"/>
              <w:spacing w:line="3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玩具推车、玩具婴儿车及类似玩具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w:t>
            </w:r>
          </w:p>
        </w:tc>
        <w:tc>
          <w:tcPr>
            <w:tcW w:w="4112" w:type="dxa"/>
            <w:vAlign w:val="center"/>
          </w:tcPr>
          <w:p>
            <w:pPr>
              <w:pStyle w:val="3"/>
              <w:spacing w:line="3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带有折叠机构的其他玩具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铰链间隙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刚性材料上的圆孔</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活动部件间的间隙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其他驱动机构</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发条钥匙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36</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弹簧</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37</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封闭式玩具的通风装置</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38</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封闭式玩具的关闭件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39</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封闭头部的玩具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仿制防护玩具（头盔、帽子、护目镜）</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弹射玩具的一般要求</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蓄能弹射玩具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非蓄能弹射玩具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水上玩具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热源玩具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46</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液体填充玩具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47</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口动玩具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48</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0"/>
                <w:sz w:val="24"/>
                <w:szCs w:val="24"/>
              </w:rPr>
              <w:t>玩具滚轴溜冰鞋、单排滚轴溜冰鞋及玩具滑板</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49</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0"/>
                <w:sz w:val="24"/>
                <w:szCs w:val="24"/>
              </w:rPr>
              <w:t>玩具火药帽</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声响要求</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51</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磁体和磁性部件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二、机械与物理性能（可预见的合理滥用）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小零件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小球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毛球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弹珠</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可触及的金属或玻璃边缘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金属玩具边缘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模塑玩具边缘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w:t>
            </w:r>
          </w:p>
        </w:tc>
        <w:tc>
          <w:tcPr>
            <w:tcW w:w="4112"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外露螺栓或螺纹杆的边缘</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可触及的锐利尖端</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0"/>
                <w:sz w:val="24"/>
                <w:szCs w:val="24"/>
              </w:rPr>
              <w:t>木制玩具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0"/>
                <w:sz w:val="24"/>
                <w:szCs w:val="24"/>
              </w:rPr>
              <w:t>突出部件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金属丝和杆件</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刚性材料上的圆孔</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活动部件间的间隙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其他驱动机构</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发条钥匙</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蓄能弹射玩具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非蓄能弹射玩具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口动玩具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三、易燃性能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112" w:type="dxa"/>
            <w:vAlign w:val="center"/>
          </w:tcPr>
          <w:p>
            <w:pPr>
              <w:pStyle w:val="3"/>
              <w:spacing w:line="300" w:lineRule="exact"/>
              <w:jc w:val="center"/>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一般要求</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112" w:type="dxa"/>
            <w:vAlign w:val="center"/>
          </w:tcPr>
          <w:p>
            <w:pPr>
              <w:pStyle w:val="3"/>
              <w:spacing w:line="300" w:lineRule="exact"/>
              <w:jc w:val="center"/>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头戴玩具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4112" w:type="dxa"/>
            <w:vAlign w:val="center"/>
          </w:tcPr>
          <w:p>
            <w:pPr>
              <w:pStyle w:val="3"/>
              <w:spacing w:line="300" w:lineRule="exact"/>
              <w:jc w:val="center"/>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化妆服饰</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4112" w:type="dxa"/>
            <w:vAlign w:val="center"/>
          </w:tcPr>
          <w:p>
            <w:pPr>
              <w:pStyle w:val="3"/>
              <w:spacing w:line="300" w:lineRule="exact"/>
              <w:jc w:val="center"/>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color w:val="000000"/>
                <w:sz w:val="24"/>
                <w:szCs w:val="24"/>
              </w:rPr>
              <w:t>供儿童进入的玩具</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4112" w:type="dxa"/>
            <w:vAlign w:val="center"/>
          </w:tcPr>
          <w:p>
            <w:pPr>
              <w:pStyle w:val="3"/>
              <w:spacing w:line="300" w:lineRule="exact"/>
              <w:jc w:val="center"/>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具有毛绒或纺织表面的软体填充玩具（动物和娃娃等）</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四、特定元素的迁移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最大限量要求</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112" w:type="dxa"/>
            <w:vAlign w:val="center"/>
          </w:tcPr>
          <w:p>
            <w:pPr>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限定增塑剂限量要求</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9174" w:type="dxa"/>
            <w:gridSpan w:val="3"/>
            <w:vAlign w:val="center"/>
          </w:tcPr>
          <w:p>
            <w:pPr>
              <w:pStyle w:val="3"/>
              <w:spacing w:line="3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标识和说明</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2</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输入功率</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3</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发热和非正常工作</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4</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工作温度下的电气强度</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5</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耐潮湿</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6</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室温下的电气强度</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7</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机械强度</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8</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结构</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9</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软线和电线的保护</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10</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螺钉和连接</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11</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电气间隙和爬电距离</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63"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12</w:t>
            </w:r>
          </w:p>
        </w:tc>
        <w:tc>
          <w:tcPr>
            <w:tcW w:w="4112" w:type="dxa"/>
            <w:vAlign w:val="center"/>
          </w:tcPr>
          <w:p>
            <w:pPr>
              <w:widowControl/>
              <w:spacing w:before="100" w:beforeAutospacing="1" w:after="100" w:afterAutospacing="1" w:line="3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耐热和耐燃</w:t>
            </w:r>
          </w:p>
        </w:tc>
        <w:tc>
          <w:tcPr>
            <w:tcW w:w="3899" w:type="dxa"/>
            <w:vAlign w:val="center"/>
          </w:tcPr>
          <w:p>
            <w:pPr>
              <w:pStyle w:val="3"/>
              <w:spacing w:line="3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 19865—2005</w:t>
            </w:r>
          </w:p>
        </w:tc>
      </w:tr>
    </w:tbl>
    <w:p>
      <w:pPr>
        <w:keepNext w:val="0"/>
        <w:keepLines w:val="0"/>
        <w:pageBreakBefore w:val="0"/>
        <w:widowControl w:val="0"/>
        <w:kinsoku/>
        <w:wordWrap/>
        <w:overflowPunct/>
        <w:topLinePunct w:val="0"/>
        <w:autoSpaceDE/>
        <w:autoSpaceDN/>
        <w:bidi w:val="0"/>
        <w:snapToGrid w:val="0"/>
        <w:spacing w:line="540" w:lineRule="exact"/>
        <w:ind w:firstLine="547" w:firstLineChars="17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判定规则</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依据标准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6675.1—2014 玩具安全 第1部分：基本规范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6675.2—2014玩具安全 第2部分：机械与物理性能</w:t>
      </w:r>
      <w:r>
        <w:rPr>
          <w:rFonts w:hint="eastAsia" w:ascii="仿宋_GB2312" w:hAnsi="仿宋_GB2312" w:eastAsia="仿宋_GB2312" w:cs="仿宋_GB2312"/>
          <w:kern w:val="0"/>
          <w:sz w:val="32"/>
          <w:szCs w:val="32"/>
        </w:rPr>
        <w:t>（含第1号修改单）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6675.3—2014 玩具安全 第3部分：易燃性能</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GB 6675.4—2014 玩具安全 第4部分：特定元素的迁移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GB 19865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2005电玩具的安全（含第1号修改单）</w:t>
      </w:r>
    </w:p>
    <w:p>
      <w:pPr>
        <w:keepNext w:val="0"/>
        <w:keepLines w:val="0"/>
        <w:pageBreakBefore w:val="0"/>
        <w:widowControl w:val="0"/>
        <w:kinsoku/>
        <w:wordWrap/>
        <w:overflowPunct/>
        <w:topLinePunct w:val="0"/>
        <w:autoSpaceDE/>
        <w:autoSpaceDN/>
        <w:bidi w:val="0"/>
        <w:snapToGrid w:val="0"/>
        <w:spacing w:line="540" w:lineRule="exact"/>
        <w:ind w:firstLine="547" w:firstLineChars="17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判定原则</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415FC"/>
    <w:rsid w:val="4DDA3E19"/>
    <w:rsid w:val="66AC62BA"/>
    <w:rsid w:val="6F34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pPr>
      <w:widowControl w:val="0"/>
      <w:jc w:val="both"/>
    </w:pPr>
    <w:rPr>
      <w:rFonts w:ascii="宋体" w:hAnsi="Courier New" w:eastAsia="仿宋_GB2312" w:cs="Times New Roman"/>
      <w:kern w:val="2"/>
      <w:sz w:val="32"/>
      <w:szCs w:val="24"/>
      <w:lang w:val="en-US" w:eastAsia="zh-CN" w:bidi="ar-SA"/>
    </w:rPr>
  </w:style>
  <w:style w:type="paragraph" w:customStyle="1" w:styleId="6">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2025-09-18T03:44:00Z</dcterms:created>
  <dc:creator>李楠</dc:creator>
  <cp:lastModifiedBy>李楠</cp:lastModifiedBy>
  <dcterms:modified xsi:type="dcterms:W3CDTF">2025-09-18T08:36:36Z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