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24"/>
          <w:szCs w:val="24"/>
        </w:rPr>
      </w:pPr>
      <w:r>
        <w:rPr>
          <w:rFonts w:hint="eastAsia" w:ascii="仿宋_GB2312" w:hAnsi="仿宋_GB2312" w:eastAsia="仿宋_GB2312" w:cs="仿宋_GB2312"/>
          <w:sz w:val="32"/>
          <w:szCs w:val="32"/>
        </w:rPr>
        <w:t>附件</w:t>
      </w:r>
      <w:bookmarkStart w:id="0" w:name="_GoBack"/>
      <w:bookmarkEnd w:id="0"/>
      <w:r>
        <w:rPr>
          <w:rFonts w:hint="eastAsia" w:ascii="方正小标宋_GBK" w:hAnsi="方正小标宋_GBK" w:eastAsia="方正小标宋_GBK" w:cs="方正小标宋_GBK"/>
          <w:sz w:val="24"/>
          <w:szCs w:val="24"/>
        </w:rPr>
        <w:t>：</w:t>
      </w:r>
    </w:p>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连山壮族瑶族自治县县城内道路停车泊位停车服务收费标准（征求意见稿）</w:t>
      </w:r>
    </w:p>
    <w:p/>
    <w:tbl>
      <w:tblPr>
        <w:tblStyle w:val="2"/>
        <w:tblW w:w="7770" w:type="dxa"/>
        <w:jc w:val="center"/>
        <w:tblInd w:w="-2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40"/>
        <w:gridCol w:w="1905"/>
        <w:gridCol w:w="699"/>
        <w:gridCol w:w="106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tblHeader/>
          <w:jc w:val="center"/>
        </w:trPr>
        <w:tc>
          <w:tcPr>
            <w:tcW w:w="39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lang w:eastAsia="zh-CN" w:bidi="ar"/>
              </w:rPr>
              <w:t>收费</w:t>
            </w:r>
            <w:r>
              <w:rPr>
                <w:rFonts w:hint="eastAsia" w:ascii="仿宋_GB2312" w:hAnsi="仿宋_GB2312" w:eastAsia="仿宋_GB2312" w:cs="仿宋_GB2312"/>
                <w:b/>
                <w:kern w:val="0"/>
                <w:sz w:val="24"/>
                <w:szCs w:val="24"/>
                <w:lang w:bidi="ar"/>
              </w:rPr>
              <w:t>时段</w:t>
            </w:r>
          </w:p>
        </w:tc>
        <w:tc>
          <w:tcPr>
            <w:tcW w:w="699" w:type="dxa"/>
            <w:noWrap w:val="0"/>
            <w:vAlign w:val="center"/>
          </w:tcPr>
          <w:p>
            <w:pPr>
              <w:widowControl/>
              <w:jc w:val="center"/>
              <w:textAlignment w:val="center"/>
              <w:rPr>
                <w:rFonts w:hint="eastAsia" w:ascii="仿宋_GB2312" w:hAnsi="仿宋_GB2312" w:eastAsia="仿宋_GB2312" w:cs="仿宋_GB2312"/>
                <w:b/>
                <w:kern w:val="0"/>
                <w:sz w:val="24"/>
                <w:szCs w:val="24"/>
                <w:lang w:bidi="ar"/>
              </w:rPr>
            </w:pPr>
            <w:r>
              <w:rPr>
                <w:rFonts w:hint="eastAsia" w:ascii="仿宋_GB2312" w:hAnsi="仿宋_GB2312" w:eastAsia="仿宋_GB2312" w:cs="仿宋_GB2312"/>
                <w:b/>
                <w:bCs/>
                <w:sz w:val="24"/>
                <w:szCs w:val="24"/>
                <w:vertAlign w:val="baseline"/>
                <w:lang w:eastAsia="zh-CN"/>
              </w:rPr>
              <w:t>收费路段</w:t>
            </w:r>
          </w:p>
        </w:tc>
        <w:tc>
          <w:tcPr>
            <w:tcW w:w="1069" w:type="dxa"/>
            <w:tcBorders>
              <w:bottom w:val="single" w:color="auto" w:sz="4" w:space="0"/>
            </w:tcBorders>
            <w:noWrap w:val="0"/>
            <w:vAlign w:val="center"/>
          </w:tcPr>
          <w:p>
            <w:pPr>
              <w:widowControl/>
              <w:jc w:val="center"/>
              <w:textAlignment w:val="center"/>
              <w:rPr>
                <w:rFonts w:hint="eastAsia" w:ascii="仿宋_GB2312" w:hAnsi="仿宋_GB2312" w:eastAsia="仿宋_GB2312" w:cs="仿宋_GB2312"/>
                <w:b/>
                <w:kern w:val="0"/>
                <w:sz w:val="24"/>
                <w:szCs w:val="24"/>
                <w:lang w:bidi="ar"/>
              </w:rPr>
            </w:pPr>
            <w:r>
              <w:rPr>
                <w:rFonts w:hint="eastAsia" w:ascii="仿宋_GB2312" w:hAnsi="仿宋_GB2312" w:eastAsia="仿宋_GB2312" w:cs="仿宋_GB2312"/>
                <w:b/>
                <w:kern w:val="0"/>
                <w:sz w:val="24"/>
                <w:szCs w:val="24"/>
                <w:lang w:bidi="ar"/>
              </w:rPr>
              <w:t>计费单位</w:t>
            </w:r>
          </w:p>
        </w:tc>
        <w:tc>
          <w:tcPr>
            <w:tcW w:w="2057" w:type="dxa"/>
            <w:noWrap w:val="0"/>
            <w:vAlign w:val="center"/>
          </w:tcPr>
          <w:p>
            <w:pPr>
              <w:widowControl/>
              <w:jc w:val="center"/>
              <w:textAlignment w:val="center"/>
              <w:rPr>
                <w:rFonts w:hint="eastAsia" w:ascii="仿宋_GB2312" w:hAnsi="仿宋_GB2312" w:eastAsia="仿宋_GB2312" w:cs="仿宋_GB2312"/>
                <w:b/>
                <w:kern w:val="0"/>
                <w:sz w:val="24"/>
                <w:szCs w:val="24"/>
                <w:lang w:bidi="ar"/>
              </w:rPr>
            </w:pPr>
            <w:r>
              <w:rPr>
                <w:rFonts w:hint="eastAsia" w:ascii="仿宋_GB2312" w:hAnsi="仿宋_GB2312" w:eastAsia="仿宋_GB2312" w:cs="仿宋_GB2312"/>
                <w:b/>
                <w:kern w:val="0"/>
                <w:sz w:val="24"/>
                <w:szCs w:val="24"/>
                <w:lang w:bidi="ar"/>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3" w:hRule="atLeast"/>
          <w:jc w:val="center"/>
        </w:trPr>
        <w:tc>
          <w:tcPr>
            <w:tcW w:w="2040" w:type="dxa"/>
            <w:vMerge w:val="restart"/>
            <w:noWrap w:val="0"/>
            <w:vAlign w:val="center"/>
          </w:tcPr>
          <w:p>
            <w:pPr>
              <w:widowControl/>
              <w:jc w:val="center"/>
              <w:textAlignment w:val="center"/>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08:00至</w:t>
            </w:r>
            <w:r>
              <w:rPr>
                <w:rFonts w:hint="eastAsia" w:ascii="仿宋_GB2312" w:hAnsi="仿宋_GB2312" w:eastAsia="仿宋_GB2312" w:cs="仿宋_GB2312"/>
                <w:bCs/>
                <w:kern w:val="0"/>
                <w:sz w:val="24"/>
                <w:szCs w:val="24"/>
                <w:lang w:val="en-US" w:eastAsia="zh-CN" w:bidi="ar"/>
              </w:rPr>
              <w:t>20</w:t>
            </w:r>
            <w:r>
              <w:rPr>
                <w:rFonts w:hint="eastAsia" w:ascii="仿宋_GB2312" w:hAnsi="仿宋_GB2312" w:eastAsia="仿宋_GB2312" w:cs="仿宋_GB2312"/>
                <w:bCs/>
                <w:kern w:val="0"/>
                <w:sz w:val="24"/>
                <w:szCs w:val="24"/>
                <w:lang w:bidi="ar"/>
              </w:rPr>
              <w:t>:00</w:t>
            </w:r>
          </w:p>
          <w:p>
            <w:pPr>
              <w:widowControl/>
              <w:jc w:val="center"/>
              <w:textAlignment w:val="center"/>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(白天)</w:t>
            </w: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0.5小时内(含)</w:t>
            </w:r>
          </w:p>
        </w:tc>
        <w:tc>
          <w:tcPr>
            <w:tcW w:w="699" w:type="dxa"/>
            <w:vMerge w:val="restart"/>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一类路段</w:t>
            </w:r>
          </w:p>
        </w:tc>
        <w:tc>
          <w:tcPr>
            <w:tcW w:w="1069"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元/辆/次</w:t>
            </w: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2040"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0.5小时以上至3小时(含)</w:t>
            </w:r>
          </w:p>
        </w:tc>
        <w:tc>
          <w:tcPr>
            <w:tcW w:w="699"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069" w:type="dxa"/>
            <w:vMerge w:val="restart"/>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元/辆</w:t>
            </w: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1" w:hRule="atLeast"/>
          <w:jc w:val="center"/>
        </w:trPr>
        <w:tc>
          <w:tcPr>
            <w:tcW w:w="2040" w:type="dxa"/>
            <w:vMerge w:val="continue"/>
            <w:noWrap w:val="0"/>
            <w:vAlign w:val="center"/>
          </w:tcPr>
          <w:p>
            <w:pPr>
              <w:widowControl/>
              <w:jc w:val="center"/>
              <w:rPr>
                <w:rFonts w:hint="eastAsia" w:ascii="仿宋_GB2312" w:hAnsi="仿宋_GB2312" w:eastAsia="仿宋_GB2312" w:cs="仿宋_GB2312"/>
                <w:bCs/>
                <w:sz w:val="24"/>
                <w:szCs w:val="24"/>
              </w:rPr>
            </w:pPr>
          </w:p>
        </w:tc>
        <w:tc>
          <w:tcPr>
            <w:tcW w:w="1905"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3小时以上至20:00</w:t>
            </w:r>
          </w:p>
        </w:tc>
        <w:tc>
          <w:tcPr>
            <w:tcW w:w="699" w:type="dxa"/>
            <w:vMerge w:val="continue"/>
            <w:noWrap w:val="0"/>
            <w:vAlign w:val="center"/>
          </w:tcPr>
          <w:p>
            <w:pPr>
              <w:widowControl/>
              <w:jc w:val="center"/>
              <w:rPr>
                <w:rFonts w:hint="eastAsia" w:ascii="仿宋_GB2312" w:hAnsi="仿宋_GB2312" w:eastAsia="仿宋_GB2312" w:cs="仿宋_GB2312"/>
                <w:bCs/>
                <w:sz w:val="24"/>
                <w:szCs w:val="24"/>
              </w:rPr>
            </w:pPr>
          </w:p>
        </w:tc>
        <w:tc>
          <w:tcPr>
            <w:tcW w:w="1069" w:type="dxa"/>
            <w:vMerge w:val="continue"/>
            <w:noWrap w:val="0"/>
            <w:vAlign w:val="center"/>
          </w:tcPr>
          <w:p>
            <w:pPr>
              <w:widowControl/>
              <w:jc w:val="center"/>
              <w:rPr>
                <w:rFonts w:hint="eastAsia" w:ascii="仿宋_GB2312" w:hAnsi="仿宋_GB2312" w:eastAsia="仿宋_GB2312" w:cs="仿宋_GB2312"/>
                <w:bCs/>
                <w:sz w:val="24"/>
                <w:szCs w:val="24"/>
              </w:rPr>
            </w:pPr>
          </w:p>
        </w:tc>
        <w:tc>
          <w:tcPr>
            <w:tcW w:w="2057" w:type="dxa"/>
            <w:noWrap w:val="0"/>
            <w:vAlign w:val="center"/>
          </w:tcPr>
          <w:p>
            <w:pPr>
              <w:widowControl/>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加收1元/小时</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不足1小时按1小时计算。</w:t>
            </w:r>
            <w:r>
              <w:rPr>
                <w:rFonts w:hint="eastAsia" w:ascii="仿宋_GB2312" w:hAnsi="仿宋_GB2312" w:eastAsia="仿宋_GB2312" w:cs="仿宋_GB2312"/>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8" w:hRule="atLeast"/>
          <w:jc w:val="center"/>
        </w:trPr>
        <w:tc>
          <w:tcPr>
            <w:tcW w:w="2040" w:type="dxa"/>
            <w:vMerge w:val="continue"/>
            <w:noWrap w:val="0"/>
            <w:vAlign w:val="center"/>
          </w:tcPr>
          <w:p>
            <w:pPr>
              <w:widowControl/>
              <w:jc w:val="center"/>
              <w:textAlignment w:val="center"/>
              <w:rPr>
                <w:rFonts w:hint="eastAsia" w:ascii="仿宋_GB2312" w:hAnsi="仿宋_GB2312" w:eastAsia="仿宋_GB2312" w:cs="仿宋_GB2312"/>
                <w:bCs/>
                <w:kern w:val="0"/>
                <w:sz w:val="24"/>
                <w:szCs w:val="24"/>
                <w:lang w:bidi="ar"/>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0.5小时内(含)</w:t>
            </w:r>
          </w:p>
        </w:tc>
        <w:tc>
          <w:tcPr>
            <w:tcW w:w="699" w:type="dxa"/>
            <w:vMerge w:val="restart"/>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二类路段</w:t>
            </w:r>
          </w:p>
        </w:tc>
        <w:tc>
          <w:tcPr>
            <w:tcW w:w="1069"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元/辆/次</w:t>
            </w: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2040" w:type="dxa"/>
            <w:vMerge w:val="continue"/>
            <w:noWrap w:val="0"/>
            <w:vAlign w:val="center"/>
          </w:tcPr>
          <w:p>
            <w:pPr>
              <w:widowControl/>
              <w:jc w:val="center"/>
              <w:textAlignment w:val="center"/>
              <w:rPr>
                <w:rFonts w:hint="eastAsia" w:ascii="仿宋_GB2312" w:hAnsi="仿宋_GB2312" w:eastAsia="仿宋_GB2312" w:cs="仿宋_GB2312"/>
                <w:bCs/>
                <w:kern w:val="0"/>
                <w:sz w:val="24"/>
                <w:szCs w:val="24"/>
                <w:lang w:bidi="ar"/>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0.5小时以上至3小时(含)</w:t>
            </w:r>
          </w:p>
        </w:tc>
        <w:tc>
          <w:tcPr>
            <w:tcW w:w="699"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069" w:type="dxa"/>
            <w:vMerge w:val="restart"/>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元/辆/次</w:t>
            </w: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9" w:hRule="atLeast"/>
          <w:jc w:val="center"/>
        </w:trPr>
        <w:tc>
          <w:tcPr>
            <w:tcW w:w="2040" w:type="dxa"/>
            <w:vMerge w:val="continue"/>
            <w:noWrap w:val="0"/>
            <w:vAlign w:val="center"/>
          </w:tcPr>
          <w:p>
            <w:pPr>
              <w:widowControl/>
              <w:jc w:val="center"/>
              <w:textAlignment w:val="center"/>
              <w:rPr>
                <w:rFonts w:hint="eastAsia" w:ascii="仿宋_GB2312" w:hAnsi="仿宋_GB2312" w:eastAsia="仿宋_GB2312" w:cs="仿宋_GB2312"/>
                <w:bCs/>
                <w:kern w:val="0"/>
                <w:sz w:val="24"/>
                <w:szCs w:val="24"/>
                <w:lang w:bidi="ar"/>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3小时以上至20:00</w:t>
            </w:r>
          </w:p>
        </w:tc>
        <w:tc>
          <w:tcPr>
            <w:tcW w:w="699"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069" w:type="dxa"/>
            <w:vMerge w:val="continue"/>
            <w:noWrap w:val="0"/>
            <w:vAlign w:val="center"/>
          </w:tcPr>
          <w:p>
            <w:pPr>
              <w:widowControl/>
              <w:jc w:val="center"/>
              <w:rPr>
                <w:rFonts w:hint="eastAsia" w:ascii="仿宋_GB2312" w:hAnsi="仿宋_GB2312" w:eastAsia="仿宋_GB2312" w:cs="仿宋_GB2312"/>
                <w:bCs/>
                <w:sz w:val="24"/>
                <w:szCs w:val="24"/>
              </w:rPr>
            </w:pP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8" w:hRule="atLeast"/>
          <w:jc w:val="center"/>
        </w:trPr>
        <w:tc>
          <w:tcPr>
            <w:tcW w:w="2040" w:type="dxa"/>
            <w:vMerge w:val="restart"/>
            <w:noWrap w:val="0"/>
            <w:vAlign w:val="center"/>
          </w:tcPr>
          <w:p>
            <w:pPr>
              <w:widowControl/>
              <w:jc w:val="center"/>
              <w:textAlignment w:val="center"/>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20:00至次日08:00</w:t>
            </w:r>
          </w:p>
          <w:p>
            <w:pPr>
              <w:widowControl/>
              <w:jc w:val="center"/>
              <w:textAlignment w:val="center"/>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(夜晚)</w:t>
            </w: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0.5小时内(含)</w:t>
            </w:r>
          </w:p>
        </w:tc>
        <w:tc>
          <w:tcPr>
            <w:tcW w:w="699" w:type="dxa"/>
            <w:vMerge w:val="restart"/>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不分路段</w:t>
            </w:r>
          </w:p>
        </w:tc>
        <w:tc>
          <w:tcPr>
            <w:tcW w:w="1069" w:type="dxa"/>
            <w:vMerge w:val="restart"/>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元/辆/次</w:t>
            </w: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9" w:hRule="atLeast"/>
          <w:jc w:val="center"/>
        </w:trPr>
        <w:tc>
          <w:tcPr>
            <w:tcW w:w="2040"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0.5小时以上至3小时(含)</w:t>
            </w:r>
          </w:p>
        </w:tc>
        <w:tc>
          <w:tcPr>
            <w:tcW w:w="699"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1069" w:type="dxa"/>
            <w:vMerge w:val="continue"/>
            <w:noWrap w:val="0"/>
            <w:vAlign w:val="center"/>
          </w:tcPr>
          <w:p>
            <w:pPr>
              <w:widowControl/>
              <w:jc w:val="center"/>
              <w:rPr>
                <w:rFonts w:hint="eastAsia" w:ascii="仿宋_GB2312" w:hAnsi="仿宋_GB2312" w:eastAsia="仿宋_GB2312" w:cs="仿宋_GB2312"/>
                <w:bCs/>
                <w:sz w:val="24"/>
                <w:szCs w:val="24"/>
              </w:rPr>
            </w:pP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4" w:hRule="atLeast"/>
          <w:jc w:val="center"/>
        </w:trPr>
        <w:tc>
          <w:tcPr>
            <w:tcW w:w="2040" w:type="dxa"/>
            <w:vMerge w:val="continue"/>
            <w:noWrap w:val="0"/>
            <w:vAlign w:val="center"/>
          </w:tcPr>
          <w:p>
            <w:pPr>
              <w:widowControl/>
              <w:jc w:val="center"/>
              <w:rPr>
                <w:rFonts w:hint="eastAsia" w:ascii="仿宋_GB2312" w:hAnsi="仿宋_GB2312" w:eastAsia="仿宋_GB2312" w:cs="仿宋_GB2312"/>
                <w:bCs/>
                <w:sz w:val="24"/>
                <w:szCs w:val="24"/>
              </w:rPr>
            </w:pPr>
          </w:p>
        </w:tc>
        <w:tc>
          <w:tcPr>
            <w:tcW w:w="1905" w:type="dxa"/>
            <w:noWrap w:val="0"/>
            <w:vAlign w:val="cente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3小时以上至次日8：00</w:t>
            </w:r>
          </w:p>
        </w:tc>
        <w:tc>
          <w:tcPr>
            <w:tcW w:w="699" w:type="dxa"/>
            <w:vMerge w:val="continue"/>
            <w:noWrap w:val="0"/>
            <w:vAlign w:val="center"/>
          </w:tcPr>
          <w:p>
            <w:pPr>
              <w:widowControl/>
              <w:jc w:val="center"/>
              <w:rPr>
                <w:rFonts w:hint="eastAsia" w:ascii="仿宋_GB2312" w:hAnsi="仿宋_GB2312" w:eastAsia="仿宋_GB2312" w:cs="仿宋_GB2312"/>
                <w:bCs/>
                <w:sz w:val="24"/>
                <w:szCs w:val="24"/>
              </w:rPr>
            </w:pPr>
          </w:p>
        </w:tc>
        <w:tc>
          <w:tcPr>
            <w:tcW w:w="1069" w:type="dxa"/>
            <w:vMerge w:val="continue"/>
            <w:noWrap w:val="0"/>
            <w:vAlign w:val="center"/>
          </w:tcPr>
          <w:p>
            <w:pPr>
              <w:widowControl/>
              <w:jc w:val="center"/>
              <w:textAlignment w:val="center"/>
              <w:rPr>
                <w:rFonts w:hint="eastAsia" w:ascii="仿宋_GB2312" w:hAnsi="仿宋_GB2312" w:eastAsia="仿宋_GB2312" w:cs="仿宋_GB2312"/>
                <w:bCs/>
                <w:sz w:val="24"/>
                <w:szCs w:val="24"/>
              </w:rPr>
            </w:pPr>
          </w:p>
        </w:tc>
        <w:tc>
          <w:tcPr>
            <w:tcW w:w="2057" w:type="dxa"/>
            <w:noWrap w:val="0"/>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9" w:hRule="atLeast"/>
          <w:jc w:val="center"/>
        </w:trPr>
        <w:tc>
          <w:tcPr>
            <w:tcW w:w="7770" w:type="dxa"/>
            <w:gridSpan w:val="5"/>
            <w:noWrap w:val="0"/>
            <w:vAlign w:val="center"/>
          </w:tcPr>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备注：</w:t>
            </w:r>
          </w:p>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1.跨时段（白天段、夜晚段）停车，按照各时段分别计算；</w:t>
            </w:r>
          </w:p>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2.停放时间超过24小时的按上述标准累加收费；</w:t>
            </w:r>
          </w:p>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3.进入停车位停车不超过30分钟(含30分钟)免收费。超过免费时段未出场的，计费时间从入场时起算；</w:t>
            </w:r>
          </w:p>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4大车、超大型车按实际占用停车位个数收费；</w:t>
            </w:r>
          </w:p>
          <w:p>
            <w:pPr>
              <w:spacing w:line="240" w:lineRule="auto"/>
              <w:ind w:firstLine="0" w:firstLineChars="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5.实施救护的医疗</w:t>
            </w:r>
            <w:r>
              <w:rPr>
                <w:rFonts w:hint="eastAsia" w:ascii="仿宋_GB2312" w:hAnsi="仿宋_GB2312" w:eastAsia="仿宋_GB2312" w:cs="仿宋_GB2312"/>
                <w:bCs/>
                <w:sz w:val="24"/>
                <w:szCs w:val="24"/>
                <w:lang w:eastAsia="zh-CN"/>
              </w:rPr>
              <w:t>救</w:t>
            </w:r>
            <w:r>
              <w:rPr>
                <w:rFonts w:hint="eastAsia" w:ascii="仿宋_GB2312" w:hAnsi="仿宋_GB2312" w:eastAsia="仿宋_GB2312" w:cs="仿宋_GB2312"/>
                <w:bCs/>
                <w:sz w:val="24"/>
                <w:szCs w:val="24"/>
              </w:rPr>
              <w:t>护车辆、执行公务的军警车辆、市政工程抢修车辆及法律法规规章规定的其他应当免收机动车停放服务费的车辆免收费；</w:t>
            </w:r>
          </w:p>
          <w:p>
            <w:pP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6.分类路段说明：沿江路（沙坪桥—甲科桥段）、滨江路（沙坪桥—甲科桥段）为二类路段，其余路段属于一类路段。</w:t>
            </w:r>
          </w:p>
        </w:tc>
      </w:tr>
    </w:tbl>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E06EF"/>
    <w:rsid w:val="37750A42"/>
    <w:rsid w:val="3B401993"/>
    <w:rsid w:val="4DB218B9"/>
    <w:rsid w:val="6AEE06EF"/>
    <w:rsid w:val="71162950"/>
    <w:rsid w:val="767D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2025-06-18T01:18:00Z</dcterms:created>
  <dc:creator>Administrator</dc:creator>
  <cp:lastModifiedBy>Administrator</cp:lastModifiedBy>
  <dcterms:modified xsi:type="dcterms:W3CDTF">2025-07-01T03:23:57Z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