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6" w:lineRule="exact"/>
        <w:textAlignment w:val="auto"/>
      </w:pPr>
    </w:p>
    <w:p>
      <w:pPr>
        <w:keepNext w:val="0"/>
        <w:keepLines w:val="0"/>
        <w:pageBreakBefore w:val="0"/>
        <w:widowControl w:val="0"/>
        <w:kinsoku/>
        <w:wordWrap/>
        <w:overflowPunct/>
        <w:topLinePunct w:val="0"/>
        <w:autoSpaceDE/>
        <w:autoSpaceDN/>
        <w:bidi w:val="0"/>
        <w:adjustRightInd/>
        <w:spacing w:line="576" w:lineRule="exact"/>
        <w:textAlignment w:val="auto"/>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连山壮族瑶族自治县2023年城镇国有建设用地基准地价评估范围及地价内涵</w:t>
      </w:r>
    </w:p>
    <w:p>
      <w:pPr>
        <w:keepNext w:val="0"/>
        <w:keepLines w:val="0"/>
        <w:pageBreakBefore w:val="0"/>
        <w:widowControl w:val="0"/>
        <w:kinsoku/>
        <w:wordWrap/>
        <w:overflowPunct/>
        <w:topLinePunct w:val="0"/>
        <w:autoSpaceDE/>
        <w:autoSpaceDN/>
        <w:bidi w:val="0"/>
        <w:adjustRightInd/>
        <w:spacing w:line="576" w:lineRule="exact"/>
        <w:ind w:firstLine="480" w:firstLineChars="200"/>
        <w:textAlignment w:val="auto"/>
        <w:rPr>
          <w:rFonts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一、评估范围</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本轮连山壮族瑶族自治县2023年</w:t>
      </w:r>
      <w:bookmarkStart w:id="0" w:name="_GoBack"/>
      <w:bookmarkEnd w:id="0"/>
      <w:r>
        <w:rPr>
          <w:rFonts w:hint="eastAsia" w:ascii="仿宋_GB2312" w:hAnsi="仿宋_GB2312" w:eastAsia="仿宋_GB2312" w:cs="仿宋_GB2312"/>
          <w:sz w:val="32"/>
          <w:szCs w:val="32"/>
        </w:rPr>
        <w:t>城镇国有建设用地基准地价更新的评估范围包括连山壮族瑶族自治县七个建制镇（吉田镇、太保镇、禾洞镇、永和镇、福堂镇、小三江镇、上帅镇），总面积1218.84平方公里（按照第三次全国国土调查的行政区划范围计算，未剔除包括限制开发山地在内的土地面积和河流）。</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二、地价内涵</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基准地价的地价内涵是土地在估价期日2023年9月1日平稳正常情况、公开竞争市场条件下，设定土地开发程度为“五通一平”（即宗地红线外通路、通上水、通下水、通电、通讯，宗地红线内场地平整），代表国有建设用地各级别在土地使用年期商服用地40年，住宅用地70年，工业用地、公共管理与公共服务用地、公用设施用地均为50年条件下的出让土地使用权平均价格，币种为人民币。</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p>
    <w:p>
      <w:pPr>
        <w:pStyle w:val="12"/>
        <w:keepNext w:val="0"/>
        <w:keepLines w:val="0"/>
        <w:pageBreakBefore w:val="0"/>
        <w:widowControl w:val="0"/>
        <w:numPr>
          <w:ilvl w:val="0"/>
          <w:numId w:val="1"/>
        </w:numPr>
        <w:kinsoku/>
        <w:wordWrap/>
        <w:overflowPunct/>
        <w:topLinePunct w:val="0"/>
        <w:autoSpaceDE/>
        <w:autoSpaceDN/>
        <w:bidi w:val="0"/>
        <w:adjustRightInd/>
        <w:snapToGrid w:val="0"/>
        <w:spacing w:line="576" w:lineRule="exact"/>
        <w:ind w:firstLineChars="0"/>
        <w:jc w:val="center"/>
        <w:textAlignment w:val="auto"/>
        <w:rPr>
          <w:rFonts w:hint="eastAsia" w:ascii="仿宋_GB2312" w:hAnsi="仿宋_GB2312" w:eastAsia="仿宋_GB2312" w:cs="仿宋_GB2312"/>
          <w:b w:val="0"/>
          <w:bCs/>
          <w:spacing w:val="10"/>
          <w:kern w:val="0"/>
          <w:sz w:val="24"/>
          <w:szCs w:val="24"/>
          <w:lang w:bidi="en-US"/>
        </w:rPr>
      </w:pPr>
      <w:r>
        <w:rPr>
          <w:rFonts w:hint="eastAsia" w:ascii="仿宋_GB2312" w:hAnsi="仿宋_GB2312" w:eastAsia="仿宋_GB2312" w:cs="仿宋_GB2312"/>
          <w:b w:val="0"/>
          <w:bCs/>
          <w:spacing w:val="10"/>
          <w:kern w:val="0"/>
          <w:sz w:val="24"/>
          <w:szCs w:val="24"/>
          <w:lang w:bidi="en-US"/>
        </w:rPr>
        <w:t>连山壮族瑶族自治县2023年城镇国有建设用地基准地价更新项目土地价格内涵表</w:t>
      </w:r>
    </w:p>
    <w:tbl>
      <w:tblPr>
        <w:tblStyle w:val="7"/>
        <w:tblW w:w="51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4"/>
        <w:gridCol w:w="2866"/>
        <w:gridCol w:w="4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blHeader/>
          <w:jc w:val="center"/>
        </w:trPr>
        <w:tc>
          <w:tcPr>
            <w:tcW w:w="110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b/>
                <w:bCs/>
                <w:szCs w:val="21"/>
              </w:rPr>
            </w:pPr>
            <w:r>
              <w:rPr>
                <w:rFonts w:ascii="Times New Roman" w:hAnsi="Times New Roman" w:eastAsia="仿宋_GB2312" w:cs="Times New Roman"/>
                <w:b/>
                <w:bCs/>
                <w:szCs w:val="21"/>
              </w:rPr>
              <w:t>用地类型</w:t>
            </w: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b/>
                <w:bCs/>
                <w:szCs w:val="21"/>
              </w:rPr>
            </w:pPr>
            <w:r>
              <w:rPr>
                <w:rFonts w:ascii="Times New Roman" w:hAnsi="Times New Roman" w:eastAsia="仿宋_GB2312" w:cs="Times New Roman"/>
                <w:b/>
                <w:bCs/>
                <w:szCs w:val="21"/>
              </w:rPr>
              <w:t>内容</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b/>
                <w:bCs/>
                <w:szCs w:val="21"/>
              </w:rPr>
            </w:pPr>
            <w:r>
              <w:rPr>
                <w:rFonts w:ascii="Times New Roman" w:hAnsi="Times New Roman" w:eastAsia="仿宋_GB2312" w:cs="Times New Roman"/>
                <w:b/>
                <w:bCs/>
                <w:szCs w:val="21"/>
              </w:rPr>
              <w:t>地价内涵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103"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商服用地</w:t>
            </w: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土地开发程度</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五通一平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103" w:type="pct"/>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Cs w:val="21"/>
              </w:rPr>
            </w:pP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设定容积率</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103" w:type="pct"/>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Cs w:val="21"/>
              </w:rPr>
            </w:pP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地价表现形式</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平均楼面地价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103"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商服路线价</w:t>
            </w: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土地开发程度</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五通一平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103" w:type="pct"/>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Cs w:val="21"/>
              </w:rPr>
            </w:pP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设定容积率</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103" w:type="pct"/>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Cs w:val="21"/>
              </w:rPr>
            </w:pP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地价表现形式</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平均楼面地价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103" w:type="pct"/>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Cs w:val="21"/>
              </w:rPr>
            </w:pP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标准宽度、标准深度</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标准宽度为5米，标准深度为12米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103"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住宅用地</w:t>
            </w: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土地开发程度</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五通一平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103" w:type="pct"/>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Cs w:val="21"/>
              </w:rPr>
            </w:pP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设定容积率</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103" w:type="pct"/>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Cs w:val="21"/>
              </w:rPr>
            </w:pP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地价表现形式</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平均楼面地价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103"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工业用地</w:t>
            </w: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土地开发程度</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五通一平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103" w:type="pct"/>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Cs w:val="21"/>
              </w:rPr>
            </w:pP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设定容积率</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103" w:type="pct"/>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Cs w:val="21"/>
              </w:rPr>
            </w:pP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地价表现形式</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地面地价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103"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公共管理与公共</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服务用地</w:t>
            </w: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土地开发程度</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五通一平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103" w:type="pct"/>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Cs w:val="21"/>
              </w:rPr>
            </w:pP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设定容积率</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103" w:type="pct"/>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Cs w:val="21"/>
              </w:rPr>
            </w:pP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地价表现形式</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平均楼面地价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103"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公用设施用地</w:t>
            </w: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土地开发程度</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五通一平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103" w:type="pct"/>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Cs w:val="21"/>
              </w:rPr>
            </w:pP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设定容积率</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103" w:type="pct"/>
            <w:vMerge w:val="continue"/>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Cs w:val="21"/>
              </w:rPr>
            </w:pPr>
          </w:p>
        </w:tc>
        <w:tc>
          <w:tcPr>
            <w:tcW w:w="15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地价表现形式</w:t>
            </w:r>
          </w:p>
        </w:tc>
        <w:tc>
          <w:tcPr>
            <w:tcW w:w="23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地面地价</w:t>
            </w:r>
          </w:p>
        </w:tc>
      </w:tr>
    </w:tbl>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注：1.商服路线价的标准铺面的标准宽度为5米，标准深度为12米；2.“五通一平”是指宗地红线外通路、通上水、通下水、通电、通讯和宗地红线内场地平整</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3.公共管理与公共服务用地包括机关团体用地、新闻出版用地、教育用地、科研用地、医疗卫生用地、文化设施用地、社会福利用地、体育用地等用途；公用设施用地包含公用设施用地、公园与绿地。</w:t>
      </w:r>
    </w:p>
    <w:p>
      <w:pPr>
        <w:spacing w:before="78" w:beforeLines="25" w:after="78" w:afterLines="25" w:line="30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三、成果体系</w:t>
      </w:r>
    </w:p>
    <w:p>
      <w:pPr>
        <w:adjustRightInd w:val="0"/>
        <w:snapToGrid w:val="0"/>
        <w:spacing w:before="78" w:beforeLines="25" w:after="78" w:afterLines="25"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本次连山壮族瑶族自治县2023年城镇国有建设用地基准地价更新成果体系包括</w:t>
      </w:r>
      <w:r>
        <w:rPr>
          <w:rFonts w:hint="eastAsia" w:ascii="仿宋_GB2312" w:hAnsi="仿宋_GB2312" w:eastAsia="仿宋_GB2312" w:cs="仿宋_GB2312"/>
          <w:b/>
          <w:bCs/>
          <w:sz w:val="32"/>
          <w:szCs w:val="32"/>
        </w:rPr>
        <w:t>级别基准地价</w:t>
      </w:r>
      <w:r>
        <w:rPr>
          <w:rFonts w:hint="eastAsia" w:ascii="仿宋_GB2312" w:hAnsi="仿宋_GB2312" w:eastAsia="仿宋_GB2312" w:cs="仿宋_GB2312"/>
          <w:sz w:val="32"/>
          <w:szCs w:val="32"/>
        </w:rPr>
        <w:t>和</w:t>
      </w:r>
      <w:r>
        <w:rPr>
          <w:rFonts w:hint="eastAsia" w:ascii="仿宋_GB2312" w:hAnsi="仿宋_GB2312" w:eastAsia="仿宋_GB2312" w:cs="仿宋_GB2312"/>
          <w:b/>
          <w:bCs/>
          <w:sz w:val="32"/>
          <w:szCs w:val="32"/>
        </w:rPr>
        <w:t>商服路线价两</w:t>
      </w:r>
      <w:r>
        <w:rPr>
          <w:rFonts w:hint="eastAsia" w:ascii="仿宋_GB2312" w:hAnsi="仿宋_GB2312" w:eastAsia="仿宋_GB2312" w:cs="仿宋_GB2312"/>
          <w:sz w:val="32"/>
          <w:szCs w:val="32"/>
        </w:rPr>
        <w:t>种价格形式。</w:t>
      </w:r>
    </w:p>
    <w:p>
      <w:pPr>
        <w:adjustRightInd w:val="0"/>
        <w:snapToGrid w:val="0"/>
        <w:spacing w:before="78" w:beforeLines="25" w:after="78" w:afterLines="25"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最终应用为</w:t>
      </w:r>
      <w:r>
        <w:rPr>
          <w:rFonts w:hint="eastAsia" w:ascii="仿宋_GB2312" w:hAnsi="仿宋_GB2312" w:eastAsia="仿宋_GB2312" w:cs="仿宋_GB2312"/>
          <w:b/>
          <w:sz w:val="32"/>
          <w:szCs w:val="32"/>
        </w:rPr>
        <w:t>级别</w:t>
      </w:r>
      <w:r>
        <w:rPr>
          <w:rFonts w:hint="eastAsia" w:ascii="仿宋_GB2312" w:hAnsi="仿宋_GB2312" w:eastAsia="仿宋_GB2312" w:cs="仿宋_GB2312"/>
          <w:b/>
          <w:bCs/>
          <w:sz w:val="32"/>
          <w:szCs w:val="32"/>
        </w:rPr>
        <w:t>基准地价</w:t>
      </w:r>
      <w:r>
        <w:rPr>
          <w:rFonts w:hint="eastAsia" w:ascii="仿宋_GB2312" w:hAnsi="仿宋_GB2312" w:eastAsia="仿宋_GB2312" w:cs="仿宋_GB2312"/>
          <w:sz w:val="32"/>
          <w:szCs w:val="32"/>
        </w:rPr>
        <w:t>和</w:t>
      </w:r>
      <w:r>
        <w:rPr>
          <w:rFonts w:hint="eastAsia" w:ascii="仿宋_GB2312" w:hAnsi="仿宋_GB2312" w:eastAsia="仿宋_GB2312" w:cs="仿宋_GB2312"/>
          <w:b/>
          <w:bCs/>
          <w:sz w:val="32"/>
          <w:szCs w:val="32"/>
        </w:rPr>
        <w:t>商服路线价</w:t>
      </w:r>
      <w:r>
        <w:rPr>
          <w:rFonts w:hint="eastAsia" w:ascii="仿宋_GB2312" w:hAnsi="仿宋_GB2312" w:eastAsia="仿宋_GB2312" w:cs="仿宋_GB2312"/>
          <w:sz w:val="32"/>
          <w:szCs w:val="32"/>
        </w:rPr>
        <w:t>。</w:t>
      </w:r>
    </w:p>
    <w:sectPr>
      <w:footerReference r:id="rId3" w:type="default"/>
      <w:pgSz w:w="11906" w:h="16838"/>
      <w:pgMar w:top="2211" w:right="1474" w:bottom="1871" w:left="1587" w:header="851" w:footer="992" w:gutter="0"/>
      <w:paperSrc/>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auto"/>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楷体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athJax_Vector">
    <w:panose1 w:val="02000603000000000000"/>
    <w:charset w:val="00"/>
    <w:family w:val="auto"/>
    <w:pitch w:val="default"/>
    <w:sig w:usb0="00000001" w:usb1="00000020" w:usb2="00000000" w:usb3="00000000" w:csb0="00000001"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汉仪行楷简">
    <w:panose1 w:val="02010600000101010101"/>
    <w:charset w:val="86"/>
    <w:family w:val="auto"/>
    <w:pitch w:val="default"/>
    <w:sig w:usb0="00000001" w:usb1="080E0800" w:usb2="00000002" w:usb3="00000000" w:csb0="00040000" w:csb1="00000000"/>
  </w:font>
  <w:font w:name="CESI仿宋-GB18030">
    <w:panose1 w:val="02000500000000000000"/>
    <w:charset w:val="86"/>
    <w:family w:val="auto"/>
    <w:pitch w:val="default"/>
    <w:sig w:usb0="A00002BF" w:usb1="38C77CFA" w:usb2="00000016" w:usb3="00000000" w:csb0="0004000F" w:csb1="00000000"/>
  </w:font>
  <w:font w:name="DejaVu Sans Mono">
    <w:panose1 w:val="020B0609030804020204"/>
    <w:charset w:val="00"/>
    <w:family w:val="auto"/>
    <w:pitch w:val="default"/>
    <w:sig w:usb0="E70026FF" w:usb1="D200F9FB" w:usb2="02000028" w:usb3="00000000" w:csb0="600001DF" w:csb1="FFDF0000"/>
  </w:font>
  <w:font w:name="Noto Sans Bamum">
    <w:panose1 w:val="020B0502040504020204"/>
    <w:charset w:val="00"/>
    <w:family w:val="auto"/>
    <w:pitch w:val="default"/>
    <w:sig w:usb0="00000003" w:usb1="02000000" w:usb2="00000000" w:usb3="00000000" w:csb0="0000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1</w:t>
                          </w:r>
                          <w:r>
                            <w:rPr>
                              <w:rFonts w:hint="eastAsia" w:ascii="华文宋体" w:hAnsi="华文宋体" w:eastAsia="华文宋体" w:cs="华文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">
              <v:fill on="f" focussize="0,0"/>
              <v:stroke on="f" weight="0.5pt"/>
              <v:imagedata o:title=""/>
              <o:lock v:ext="edit" aspectratio="f"/>
              <v:textbox inset="0mm,0mm,0mm,0mm" style="mso-fit-shape-to-text:t;">
                <w:txbxContent>
                  <w:p>
                    <w:pPr>
                      <w:pStyle w:val="4"/>
                    </w:pP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1</w:t>
                    </w:r>
                    <w:r>
                      <w:rPr>
                        <w:rFonts w:hint="eastAsia" w:ascii="华文宋体" w:hAnsi="华文宋体" w:eastAsia="华文宋体" w:cs="华文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91B11"/>
    <w:multiLevelType w:val="multilevel"/>
    <w:tmpl w:val="5C091B11"/>
    <w:lvl w:ilvl="0" w:tentative="0">
      <w:start w:val="1"/>
      <w:numFmt w:val="decimal"/>
      <w:lvlText w:val="表1-%1"/>
      <w:lvlJc w:val="left"/>
      <w:pPr>
        <w:ind w:left="902" w:hanging="420"/>
      </w:pPr>
      <w:rPr>
        <w:rFonts w:hint="default" w:ascii="仿宋_GB2312" w:hAnsi="仿宋_GB2312" w:eastAsia="仿宋_GB2312" w:cs="仿宋_GB2312"/>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59"/>
    <w:rsid w:val="00002C29"/>
    <w:rsid w:val="001F5D3D"/>
    <w:rsid w:val="00204106"/>
    <w:rsid w:val="002740E6"/>
    <w:rsid w:val="002B0759"/>
    <w:rsid w:val="00386F92"/>
    <w:rsid w:val="004A2239"/>
    <w:rsid w:val="004C3750"/>
    <w:rsid w:val="004D3D34"/>
    <w:rsid w:val="00726F6C"/>
    <w:rsid w:val="008920E7"/>
    <w:rsid w:val="009971BB"/>
    <w:rsid w:val="009E0C06"/>
    <w:rsid w:val="00B03C97"/>
    <w:rsid w:val="00B75A3B"/>
    <w:rsid w:val="00C539A3"/>
    <w:rsid w:val="00CB0EA3"/>
    <w:rsid w:val="00DA59E8"/>
    <w:rsid w:val="00F3282A"/>
    <w:rsid w:val="00FC3C69"/>
    <w:rsid w:val="28D81B7D"/>
    <w:rsid w:val="35CF2253"/>
    <w:rsid w:val="3AFA597E"/>
    <w:rsid w:val="7D9A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rPr>
      <w:sz w:val="20"/>
      <w:szCs w:val="20"/>
    </w:rPr>
  </w:style>
  <w:style w:type="paragraph" w:styleId="3">
    <w:name w:val="Balloon Text"/>
    <w:basedOn w:val="1"/>
    <w:link w:val="15"/>
    <w:semiHidden/>
    <w:unhideWhenUsed/>
    <w:qFormat/>
    <w:uiPriority w:val="99"/>
    <w:rPr>
      <w:rFonts w:ascii="Microsoft YaHei UI" w:eastAsia="Microsoft YaHei UI"/>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16"/>
      <w:szCs w:val="16"/>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字符"/>
    <w:basedOn w:val="8"/>
    <w:link w:val="2"/>
    <w:semiHidden/>
    <w:qFormat/>
    <w:uiPriority w:val="99"/>
    <w:rPr>
      <w:sz w:val="20"/>
      <w:szCs w:val="20"/>
    </w:rPr>
  </w:style>
  <w:style w:type="character" w:customStyle="1" w:styleId="14">
    <w:name w:val="批注主题 字符"/>
    <w:basedOn w:val="13"/>
    <w:link w:val="6"/>
    <w:semiHidden/>
    <w:qFormat/>
    <w:uiPriority w:val="99"/>
    <w:rPr>
      <w:b/>
      <w:bCs/>
      <w:sz w:val="20"/>
      <w:szCs w:val="20"/>
    </w:rPr>
  </w:style>
  <w:style w:type="character" w:customStyle="1" w:styleId="15">
    <w:name w:val="批注框文本 字符"/>
    <w:basedOn w:val="8"/>
    <w:link w:val="3"/>
    <w:semiHidden/>
    <w:qFormat/>
    <w:uiPriority w:val="99"/>
    <w:rPr>
      <w:rFonts w:ascii="Microsoft YaHei UI" w:eastAsia="Microsoft YaHei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148</Words>
  <Characters>844</Characters>
  <Lines>7</Lines>
  <Paragraphs>1</Paragraphs>
  <TotalTime>10</TotalTime>
  <ScaleCrop>false</ScaleCrop>
  <LinksUpToDate>false</LinksUpToDate>
  <CharactersWithSpaces>991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2025-01-03T14:18:00Z</dcterms:created>
  <dc:creator>huang</dc:creator>
  <cp:lastModifiedBy>pc58</cp:lastModifiedBy>
  <dcterms:modified xsi:type="dcterms:W3CDTF">2025-05-13T10:45:51Z</dcterms:modified>
  <dc:title>连山壮族瑶族自治县2023年城镇国有建设用地基准地价评估范围及地价内涵</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eyJoZGlkIjoiZjE4ZWYyYTc0YmRjYWM3OTA4Y2FmNmU5Mzc4ZDc0OGEiLCJ1c2VySWQiOiI4MzE2MzkxODkifQ==</vt:lpwstr>
  </property>
  <property fmtid="{D5CDD505-2E9C-101B-9397-08002B2CF9AE}" pid="3" name="KSOProductBuildVer">
    <vt:lpwstr>2052-11.8.2.11625</vt:lpwstr>
  </property>
  <property fmtid="{D5CDD505-2E9C-101B-9397-08002B2CF9AE}" pid="4" name="ICV">
    <vt:lpwstr>FFE0754BEC1F4727AC1D6F00BF079163_12</vt:lpwstr>
  </property>
</Properties>
</file>