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90" w:line="313" w:lineRule="auto"/>
        <w:ind w:left="540" w:right="337" w:firstLine="669"/>
        <w:jc w:val="right"/>
        <w:rPr>
          <w:spacing w:val="17"/>
        </w:rPr>
      </w:pPr>
      <w:r>
        <w:rPr>
          <w:spacing w:val="17"/>
        </w:rPr>
        <w:t>粤府土审(19)〔2024〕176号</w:t>
      </w: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156" w:line="227" w:lineRule="auto"/>
        <w:ind w:left="1755" w:right="440" w:hanging="1209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35"/>
          <w:sz w:val="48"/>
          <w:szCs w:val="48"/>
        </w:rPr>
        <w:t>广东省人民政府关于连山壮族瑶族自治县2024</w:t>
      </w:r>
      <w:r>
        <w:rPr>
          <w:rFonts w:ascii="宋体" w:hAnsi="宋体" w:eastAsia="宋体" w:cs="宋体"/>
          <w:b/>
          <w:bCs/>
          <w:spacing w:val="-40"/>
          <w:sz w:val="48"/>
          <w:szCs w:val="48"/>
        </w:rPr>
        <w:t>年度第一批次城镇建设用地的批复</w:t>
      </w:r>
    </w:p>
    <w:p>
      <w:pPr>
        <w:spacing w:line="335" w:lineRule="auto"/>
        <w:rPr>
          <w:rFonts w:ascii="Arial"/>
          <w:sz w:val="21"/>
        </w:rPr>
      </w:pPr>
    </w:p>
    <w:p>
      <w:pPr>
        <w:spacing w:line="335" w:lineRule="auto"/>
        <w:rPr>
          <w:rFonts w:ascii="Arial"/>
          <w:sz w:val="21"/>
        </w:rPr>
      </w:pPr>
    </w:p>
    <w:p>
      <w:pPr>
        <w:pStyle w:val="2"/>
        <w:spacing w:before="104" w:line="222" w:lineRule="auto"/>
        <w:ind w:left="540"/>
      </w:pPr>
      <w:r>
        <w:rPr>
          <w:spacing w:val="-11"/>
        </w:rPr>
        <w:t>清远市人民政府：</w:t>
      </w:r>
    </w:p>
    <w:p>
      <w:pPr>
        <w:pStyle w:val="2"/>
        <w:spacing w:before="290" w:line="313" w:lineRule="auto"/>
        <w:ind w:left="540" w:right="337" w:firstLine="669"/>
      </w:pPr>
      <w:r>
        <w:rPr>
          <w:spacing w:val="14"/>
        </w:rPr>
        <w:t>《关于审批连山壮族瑶族自治县2024年度第一批次城镇建</w:t>
      </w:r>
      <w:r>
        <w:rPr>
          <w:spacing w:val="17"/>
        </w:rPr>
        <w:t>设用地的请示》(清自然资管制报〔2024〕273号)收悉，现批</w:t>
      </w:r>
    </w:p>
    <w:p>
      <w:pPr>
        <w:pStyle w:val="2"/>
        <w:spacing w:before="60" w:line="222" w:lineRule="auto"/>
        <w:ind w:left="540"/>
      </w:pPr>
      <w:r>
        <w:rPr>
          <w:spacing w:val="-15"/>
        </w:rPr>
        <w:t>复如下：</w:t>
      </w:r>
    </w:p>
    <w:p>
      <w:pPr>
        <w:pStyle w:val="2"/>
        <w:spacing w:before="230" w:line="289" w:lineRule="auto"/>
        <w:ind w:left="540" w:right="392" w:firstLine="679"/>
      </w:pPr>
      <w:r>
        <w:t>一、同意连山壮族瑶族自治县2024年度第一批次城镇建设用</w:t>
      </w:r>
      <w:r>
        <w:rPr>
          <w:spacing w:val="-17"/>
        </w:rPr>
        <w:t>地。</w:t>
      </w:r>
    </w:p>
    <w:p>
      <w:pPr>
        <w:pStyle w:val="2"/>
        <w:spacing w:before="240" w:line="316" w:lineRule="auto"/>
        <w:ind w:left="540" w:right="380" w:firstLine="679"/>
      </w:pPr>
      <w:r>
        <w:rPr>
          <w:spacing w:val="6"/>
        </w:rPr>
        <w:t>二、同意你市将农民集体所有农用地0.5504公顷(其中耕地</w:t>
      </w:r>
      <w:r>
        <w:rPr>
          <w:spacing w:val="12"/>
        </w:rPr>
        <w:t>0公顷)和未利用地0.3201公顷转为建设用地并办理征地手续。</w:t>
      </w:r>
      <w:r>
        <w:rPr>
          <w:spacing w:val="11"/>
        </w:rPr>
        <w:t>上述0.8705公顷用地由当地人民政府按照经依法批准的国土空</w:t>
      </w:r>
      <w:r>
        <w:rPr>
          <w:spacing w:val="-5"/>
        </w:rPr>
        <w:t>间规划确定的用途供应，用于城镇用地。</w:t>
      </w:r>
    </w:p>
    <w:p>
      <w:pPr>
        <w:pStyle w:val="2"/>
        <w:spacing w:before="214" w:line="324" w:lineRule="auto"/>
        <w:ind w:left="540" w:right="357" w:firstLine="679"/>
      </w:pPr>
      <w:r>
        <w:rPr>
          <w:spacing w:val="1"/>
        </w:rPr>
        <w:t>三、请你市人民政府按照《中华人民共和国土地管理法》有</w:t>
      </w:r>
      <w:r>
        <w:rPr>
          <w:spacing w:val="-2"/>
        </w:rPr>
        <w:t>关规定，严格履行征地批后实施程序，及时足额支付补偿费用</w:t>
      </w:r>
      <w:r>
        <w:rPr>
          <w:rFonts w:hint="eastAsia"/>
          <w:spacing w:val="-2"/>
          <w:lang w:eastAsia="zh-CN"/>
        </w:rPr>
        <w:t>，</w:t>
      </w:r>
      <w:r>
        <w:rPr>
          <w:spacing w:val="2"/>
        </w:rPr>
        <w:t>安排被征地农民的社会保障费用，落实安置措施，妥善</w:t>
      </w:r>
      <w:r>
        <w:rPr>
          <w:spacing w:val="1"/>
        </w:rPr>
        <w:t>解决好被</w:t>
      </w:r>
      <w:r>
        <w:rPr>
          <w:spacing w:val="2"/>
        </w:rPr>
        <w:t>征地农民的生产和生活，保证原有生活水平不降低，长远生计有</w:t>
      </w:r>
      <w:bookmarkStart w:id="0" w:name="_GoBack"/>
      <w:r>
        <w:rPr>
          <w:spacing w:val="2"/>
        </w:rPr>
        <w:t>保障。征地补偿安置不落实的，不得动工用地。有关工业项目必</w:t>
      </w:r>
    </w:p>
    <w:p>
      <w:pPr>
        <w:spacing w:line="324" w:lineRule="auto"/>
        <w:sectPr>
          <w:footerReference r:id="rId3" w:type="default"/>
          <w:pgSz w:w="12240" w:h="16830"/>
          <w:pgMar w:top="1409" w:right="1370" w:bottom="1190" w:left="929" w:header="0" w:footer="1129" w:gutter="0"/>
        </w:sectPr>
      </w:pPr>
    </w:p>
    <w:p>
      <w:pPr>
        <w:pStyle w:val="2"/>
        <w:spacing w:before="104" w:line="343" w:lineRule="auto"/>
        <w:ind w:right="192"/>
      </w:pPr>
      <w:r>
        <w:rPr>
          <w:spacing w:val="-1"/>
        </w:rPr>
        <w:t>须符合安全、环保、效益三条底线。你市相关不动产登记机构以</w:t>
      </w:r>
      <w:r>
        <w:rPr>
          <w:spacing w:val="-5"/>
        </w:rPr>
        <w:t>此办理集体土地所有权注销或变更登记。</w:t>
      </w:r>
    </w:p>
    <w:p>
      <w:pPr>
        <w:pStyle w:val="2"/>
        <w:spacing w:before="23" w:line="333" w:lineRule="auto"/>
        <w:ind w:left="49" w:right="142" w:firstLine="700"/>
      </w:pPr>
      <w:r>
        <w:rPr>
          <w:spacing w:val="-2"/>
        </w:rPr>
        <w:t>四、严格按照国家有关规定征收新增建设用地土地有偿使用</w:t>
      </w:r>
      <w:r>
        <w:rPr>
          <w:spacing w:val="-19"/>
        </w:rPr>
        <w:t>费。</w:t>
      </w:r>
    </w:p>
    <w:bookmarkEnd w:id="0"/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pStyle w:val="2"/>
        <w:spacing w:before="104" w:line="371" w:lineRule="auto"/>
        <w:ind w:left="5290" w:right="1517" w:firstLine="89"/>
      </w:pPr>
      <w:r>
        <w:rPr>
          <w:spacing w:val="1"/>
        </w:rPr>
        <w:t>广东省人民政府</w:t>
      </w:r>
      <w:r>
        <w:rPr>
          <w:spacing w:val="29"/>
        </w:rPr>
        <w:t>2024年12月5日</w:t>
      </w:r>
    </w:p>
    <w:p>
      <w:pPr>
        <w:pStyle w:val="2"/>
        <w:spacing w:before="237" w:line="391" w:lineRule="auto"/>
        <w:ind w:right="240"/>
        <w:rPr>
          <w:sz w:val="28"/>
          <w:szCs w:val="28"/>
        </w:rPr>
      </w:pPr>
    </w:p>
    <w:sectPr>
      <w:footerReference r:id="rId4" w:type="default"/>
      <w:pgSz w:w="12240" w:h="16830"/>
      <w:pgMar w:top="1430" w:right="1689" w:bottom="1526" w:left="1370" w:header="0" w:footer="124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0" w:lineRule="exact"/>
    </w:pPr>
    <w:r>
      <w:rPr>
        <w:position w:val="-1"/>
      </w:rPr>
      <w:drawing>
        <wp:inline distT="0" distB="0" distL="0" distR="0">
          <wp:extent cx="6292215" cy="31750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92846" cy="31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34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—2—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 w:val="1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2F117C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Office_11.8.2.8593_F1E327BC-269C-435d-A152-05C5408002CA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2024-12-18T12:02:00Z</dcterms:created>
  <dc:creator>Kingsoft-PDF</dc:creator>
  <cp:lastModifiedBy>☀️萌萌的肥Zzz</cp:lastModifiedBy>
  <dcterms:modified xsi:type="dcterms:W3CDTF">2024-12-18T04:08:49Z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2024-12-18T12:02:49Z</vt:filetime>
  </property>
  <property fmtid="{D5CDD505-2E9C-101B-9397-08002B2CF9AE}" pid="4" name="UsrData">
    <vt:lpwstr>676249669e0810001f906a10wl</vt:lpwstr>
  </property>
  <property fmtid="{D5CDD505-2E9C-101B-9397-08002B2CF9AE}" pid="5" name="KSOProductBuildVer">
    <vt:lpwstr>2052-11.8.2.8593</vt:lpwstr>
  </property>
</Properties>
</file>