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连山壮族瑶族自治县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文化产业特派员管理制度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第一章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为规范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文化产业特派员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管理工作，充分发挥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特派员对服务片区文化产业赋能乡村振兴工作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的引导支持作用，结合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连山县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实际，制订本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所称的文化产业特派员是指经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连山壮族瑶族自治县文化广电旅游体育局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选聘，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对具体片区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开展特派服务，引导支持在地产业发展和文化发展，与村书记、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形成双轮驱动，共建人文乡村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文化产业特派员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遴选、解聘、考察、管理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等适用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本制度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连山壮族瑶族自治县文化产业特派员是帮助连山县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文化产业赋能乡村振兴发展的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乡村首席运营官”，遵循联络畅通、资源共享、统筹协调的原则，形成有机联动、运转协调、效能显著的决策咨询运行机制，为连山壮族瑶族自治县担任文化产业特派员，参与连山县文化产业赋能乡村振兴相关政策制定工作，推动落实具体区域特色产业的发展布局、引导扶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第二章 相关各方职责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文化产业特派员由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连山壮族瑶族自治县文化广电旅游体育局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负责人员的总体部署和统筹协调；研究制定相关政策和管理制度；研究和决定特派服务工作推行过程中的重大事项；负责组织文化产业特派员征集、遴选、审核、培训、特派员信息动态管理和特派员履职评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特派员推荐单位原则上为其所在工作单位，推荐单位要认真履行法人主体责任，加强人员信息审核，及时报告所推荐的特派员人选违法、违规等重大事项。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特派员管理和使用单位应加强对特派员信息的安全管理，严禁私自复制、下载、泄露、转让或出售其信息和资料，及时客观评价或反馈特派员履职情况。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第三章 文化产业特派员选聘、解聘规则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入选文化产业特派员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应符合以下条件：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具有良好的政治思想素质、精神面貌、决策能力，以及高度的工作热忱和责任感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熟悉文化产业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乡村振兴领域发展情况及相关政策，对文化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产业、乡村振兴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领域的国家方针、产业政策、行业发展方向、专业技术领域有深入的了解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包括但不限于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文化和旅游、城乡规划、旅游规划、商务资源整合、融媒体宣传、文化创意设计、演出产业、民俗音乐、美术产业、非遗手工艺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等文化产业赋能乡村振兴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领域具有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丰富的行业知识储备和突出的工作能力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，在业内得到广泛认同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身体健康，在时间和精力上能够保证参与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文化产业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的相关工作和活动，并认真履行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义务和职责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无违法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违规等不良记录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第九条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文化产业特派员入选程序：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宣传发动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连山壮族瑶族自治县文化广电旅游体育局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公开征集、单位推荐和自我推荐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相结合的方式选聘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文化产业特派员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连山壮族瑶族自治县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文化产业特派员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人选自荐表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》（见附件），按填表说明提供相应材料（照片或扫描件），并附上相关证明材料经所在单位同意后，整合成一份Word文档发至指定邮箱：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lsly8739287@163.com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"mailto:zcfg@gdd.gov.cn，完成报名。" </w:instrTex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，完成报名</w:t>
      </w:r>
      <w:r>
        <w:rPr>
          <w:rStyle w:val="7"/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报名成功后，工作人员将在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5至7个工作日内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审核申请材料，确认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入选人员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资格，反馈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入选人员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拟入选特派员名单会在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连山壮族瑶族自治县人民政府官方网站上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进行公示，公示期为7个工作日。公示期间，单位或个人可以以书面形式向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连山壮族瑶族自治县文化广电旅游体育局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提出异议。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连山壮族瑶族自治县文化广电旅游体育局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对提出异议的人选进行核查，并将核查结果告知提出异议的单位或个人。公示无异议或异议不成立者入选。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通过遴选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通过公示名单的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须签署承诺书、保密协议等，并经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连山壮族瑶族自治县文化广电旅游体育局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颁发聘书。最终确认聘选的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名单会在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连山壮族瑶族自治县人民政府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官方网站予以公告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对入选文化产业特派员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实行动态管理。对于符合条件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的人选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，经有关程序选聘后，由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连山壮族瑶族自治县文化广电旅游体育局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发放聘书，予以正式聘任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原则上每年聘用一次。专家一经聘任，须遵守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文化产业特派员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管理有关规定。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基本信息有变化的，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本人应及时通知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管理部门更新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管理部门根据使用单位对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信用评价等情况，每年度对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信用等级进行更新。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有以下情形之一的特派员应予以解聘：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聘期届满；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聘期内出现违法违纪行为并经有关机关确认处理；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本人书面申请不再担任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接受工作邀请后无故缺席2次以上的；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擅自泄露保密信息的；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因私情而假公济私的；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其他情形不适宜担任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出库程序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核实。由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管理部门核实相关情况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告知。由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连山壮族瑶族自治县文化广电旅游体育局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核实拟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解聘人员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名单后，书面告知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第四章 使用管理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连山壮族瑶族自治县文化广电旅游体育局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可依申请使用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文化产业特派员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，依据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共享协议执行。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第十五条 特派员应按专业范围分为几个大类：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（1）文化旅游方向。要求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包括但不限于文化和旅游、城乡规划、旅游规划、商务资源整合、融媒体宣传等领域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（2）文化遗产方向。要求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包括但不限于文化创意设计、演出产业、民俗音乐、美术产业、非遗手工艺等领域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（3）文化金融方向。要求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包括但不限于文化金融、文化和旅游项目投融资、文化融资租赁、文化融资担保、文化小贷、文化基金等领域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评价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使用单位应当在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具体项目工作、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活动结束后五个工作日内，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管理部门反馈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，从工作态度、专业水平、知识面、表达能力等方面对每位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参加活动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工作情况进行公正、客观的评价。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第五章 文化产业特派员权利和义务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文化产业特派员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享受以下权利：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权利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" w:leftChars="0" w:firstLine="40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担任文化产业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特派员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，参与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连山县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文化产业赋能乡村振兴相关政策制定工作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提供咨询建议和辅助决策意见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" w:leftChars="0" w:firstLine="40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所负责区域的村情村貌、区域产业发展情况进行充分调研，从包括但不限于创意设计、演出产业、音乐产业、美术产业、手工艺、数字文化产业等各切口提出乡村振兴工作创新思路，并组织协调各方资源，进行具体实践工作落实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" w:leftChars="0" w:firstLine="40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对参与事项提出独立指导意见和建议，不受任何单位或个人的干预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" w:leftChars="0" w:firstLine="40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符合有关规定的其他权利。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十八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特派员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应履行以下义务：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" w:leftChars="0" w:firstLine="40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积极参与并配合有关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政策制定、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工作，坚持独立、客观、公平、公正、科学的原则，对本人提出的意见、建议负责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" w:leftChars="0" w:firstLine="40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存在有可能妨碍论证客观、公平、公正的情形，应及时提出回避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" w:leftChars="0" w:firstLine="40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严格遵守有关保密规定，不得泄露、利用相关商业秘密和其他敏感不能公开的保密信息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" w:leftChars="0" w:firstLine="40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符合有关规定的其他义务。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连山壮族瑶族自治县文化广电旅游体育局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二十一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自20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日起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1C633D-EFBB-4AFF-8AC1-25961B2430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1D5585B-1B58-4AAC-AAE3-2AE9BD453991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3" w:fontKey="{B636DD56-6086-4907-B3AC-2E4497C691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0031775-3642-4C46-BFEE-20E04C7FE549}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10866B37-0675-4274-922A-CB8C376342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2672D"/>
    <w:multiLevelType w:val="singleLevel"/>
    <w:tmpl w:val="8922672D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2312" w:hAnsi="方正楷体_GB2312" w:eastAsia="方正楷体_GB2312" w:cs="方正楷体_GB2312"/>
        <w:sz w:val="32"/>
        <w:szCs w:val="32"/>
      </w:rPr>
    </w:lvl>
  </w:abstractNum>
  <w:abstractNum w:abstractNumId="1">
    <w:nsid w:val="9A6B2D19"/>
    <w:multiLevelType w:val="singleLevel"/>
    <w:tmpl w:val="9A6B2D19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B71B68E7"/>
    <w:multiLevelType w:val="singleLevel"/>
    <w:tmpl w:val="B71B68E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3">
    <w:nsid w:val="D30EBE1A"/>
    <w:multiLevelType w:val="singleLevel"/>
    <w:tmpl w:val="D30EBE1A"/>
    <w:lvl w:ilvl="0" w:tentative="0">
      <w:start w:val="5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4">
    <w:nsid w:val="524180AE"/>
    <w:multiLevelType w:val="singleLevel"/>
    <w:tmpl w:val="524180A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2312" w:hAnsi="方正楷体_GB2312" w:eastAsia="方正楷体_GB2312" w:cs="方正楷体_GB2312"/>
        <w:sz w:val="32"/>
        <w:szCs w:val="32"/>
      </w:rPr>
    </w:lvl>
  </w:abstractNum>
  <w:abstractNum w:abstractNumId="5">
    <w:nsid w:val="5851F71C"/>
    <w:multiLevelType w:val="singleLevel"/>
    <w:tmpl w:val="5851F71C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 w:ascii="Times New Roman" w:hAnsi="Times New Roman" w:cs="Times New Roman"/>
        <w:sz w:val="32"/>
        <w:szCs w:val="32"/>
      </w:rPr>
    </w:lvl>
  </w:abstractNum>
  <w:abstractNum w:abstractNumId="6">
    <w:nsid w:val="671480C3"/>
    <w:multiLevelType w:val="singleLevel"/>
    <w:tmpl w:val="671480C3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2312" w:hAnsi="方正楷体_GB2312" w:eastAsia="方正楷体_GB2312" w:cs="方正楷体_GB2312"/>
        <w:sz w:val="32"/>
        <w:szCs w:val="32"/>
      </w:rPr>
    </w:lvl>
  </w:abstractNum>
  <w:abstractNum w:abstractNumId="7">
    <w:nsid w:val="6D8B0B8F"/>
    <w:multiLevelType w:val="singleLevel"/>
    <w:tmpl w:val="6D8B0B8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2312" w:hAnsi="方正楷体_GB2312" w:eastAsia="方正楷体_GB2312" w:cs="方正楷体_GB2312"/>
        <w:sz w:val="32"/>
        <w:szCs w:val="32"/>
      </w:rPr>
    </w:lvl>
  </w:abstractNum>
  <w:abstractNum w:abstractNumId="8">
    <w:nsid w:val="7DB31192"/>
    <w:multiLevelType w:val="singleLevel"/>
    <w:tmpl w:val="7DB3119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2312" w:hAnsi="方正楷体_GB2312" w:eastAsia="方正楷体_GB2312" w:cs="方正楷体_GB2312"/>
        <w:sz w:val="32"/>
        <w:szCs w:val="32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GY5NDZmYTNmNmQzZjU2YzU1MGNlNzU4NzZhZmEifQ=="/>
  </w:docVars>
  <w:rsids>
    <w:rsidRoot w:val="00000000"/>
    <w:rsid w:val="01AA0B9E"/>
    <w:rsid w:val="03FD78A4"/>
    <w:rsid w:val="067E5A12"/>
    <w:rsid w:val="07FB33C3"/>
    <w:rsid w:val="08246075"/>
    <w:rsid w:val="0A2048F0"/>
    <w:rsid w:val="0D48798E"/>
    <w:rsid w:val="0FA21C13"/>
    <w:rsid w:val="12CA0BA8"/>
    <w:rsid w:val="13230FEF"/>
    <w:rsid w:val="16D41B40"/>
    <w:rsid w:val="16F37B1E"/>
    <w:rsid w:val="177B6BD1"/>
    <w:rsid w:val="1AED5B68"/>
    <w:rsid w:val="20E560DC"/>
    <w:rsid w:val="23411E36"/>
    <w:rsid w:val="24420DDE"/>
    <w:rsid w:val="26533E02"/>
    <w:rsid w:val="294B665C"/>
    <w:rsid w:val="2F4C2F11"/>
    <w:rsid w:val="320E382B"/>
    <w:rsid w:val="32490E32"/>
    <w:rsid w:val="3475623D"/>
    <w:rsid w:val="3B5E2B2E"/>
    <w:rsid w:val="3D493F58"/>
    <w:rsid w:val="418238EE"/>
    <w:rsid w:val="418E58C6"/>
    <w:rsid w:val="43E07C4C"/>
    <w:rsid w:val="46235AB9"/>
    <w:rsid w:val="4EC9502B"/>
    <w:rsid w:val="502D4269"/>
    <w:rsid w:val="54C96418"/>
    <w:rsid w:val="57EE53E1"/>
    <w:rsid w:val="58F13E62"/>
    <w:rsid w:val="5A4A7D39"/>
    <w:rsid w:val="60C06CB3"/>
    <w:rsid w:val="60D85669"/>
    <w:rsid w:val="62BC4E23"/>
    <w:rsid w:val="63554566"/>
    <w:rsid w:val="66281291"/>
    <w:rsid w:val="664F7AFB"/>
    <w:rsid w:val="668B2D7E"/>
    <w:rsid w:val="679124B9"/>
    <w:rsid w:val="6B0625EA"/>
    <w:rsid w:val="6B783ADC"/>
    <w:rsid w:val="6C993E6E"/>
    <w:rsid w:val="6E531FEA"/>
    <w:rsid w:val="735B7620"/>
    <w:rsid w:val="751705A0"/>
    <w:rsid w:val="79030169"/>
    <w:rsid w:val="7A6B582E"/>
    <w:rsid w:val="7C6349A9"/>
    <w:rsid w:val="7D41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2544</Words>
  <Characters>2570</Characters>
  <Lines>0</Lines>
  <Paragraphs>0</Paragraphs>
  <TotalTime>50</TotalTime>
  <ScaleCrop>false</ScaleCrop>
  <LinksUpToDate>false</LinksUpToDate>
  <CharactersWithSpaces>2601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2023-02-01T02:33:00Z</dcterms:created>
  <dc:creator>广州文化金融</dc:creator>
  <cp:lastModifiedBy>Administrator</cp:lastModifiedBy>
  <cp:lastPrinted>2023-02-01T06:32:00Z</cp:lastPrinted>
  <dcterms:modified xsi:type="dcterms:W3CDTF">2024-10-18T01:20:33Z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1B20DBEDB80C4597A7C630F655723C50_13</vt:lpwstr>
  </property>
</Properties>
</file>