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sz w:val="32"/>
          <w:szCs w:val="32"/>
        </w:rPr>
      </w:pPr>
      <w:r>
        <w:rPr>
          <w:rFonts w:hint="eastAsia" w:ascii="黑体" w:hAnsi="黑体" w:eastAsia="黑体" w:cs="黑体"/>
          <w:sz w:val="32"/>
          <w:szCs w:val="32"/>
        </w:rPr>
        <w:t>附件3</w:t>
      </w:r>
    </w:p>
    <w:p>
      <w:pPr>
        <w:jc w:val="center"/>
        <w:rPr>
          <w:rFonts w:hint="eastAsia" w:ascii="宋体" w:hAnsi="宋体" w:cs="宋体"/>
          <w:b/>
          <w:bCs/>
          <w:sz w:val="44"/>
          <w:szCs w:val="44"/>
        </w:rPr>
      </w:pPr>
      <w:r>
        <w:rPr>
          <w:rFonts w:hint="eastAsia" w:ascii="宋体" w:hAnsi="宋体" w:cs="宋体"/>
          <w:b/>
          <w:bCs/>
          <w:sz w:val="44"/>
          <w:szCs w:val="44"/>
        </w:rPr>
        <w:t>承  诺  书</w:t>
      </w:r>
    </w:p>
    <w:p>
      <w:pPr>
        <w:pStyle w:val="2"/>
        <w:rPr>
          <w:rFonts w:hint="default"/>
        </w:rPr>
      </w:pPr>
      <w:r>
        <w:rPr>
          <w:rFonts w:hint="default"/>
        </w:rPr>
        <w:t xml:space="preserve">                  （样板）</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我公司已详细阅读《关于</w:t>
      </w:r>
      <w:r>
        <w:rPr>
          <w:rFonts w:hint="eastAsia" w:ascii="仿宋_GB2312" w:hAnsi="仿宋_GB2312" w:eastAsia="仿宋_GB2312" w:cs="仿宋_GB2312"/>
          <w:sz w:val="32"/>
          <w:szCs w:val="32"/>
          <w:lang w:eastAsia="zh-CN"/>
        </w:rPr>
        <w:t>遴选连山壮族瑶族自治县牲畜</w:t>
      </w:r>
      <w:r>
        <w:rPr>
          <w:rFonts w:hint="eastAsia" w:ascii="仿宋_GB2312" w:hAnsi="仿宋_GB2312" w:eastAsia="仿宋_GB2312" w:cs="仿宋_GB2312"/>
          <w:sz w:val="32"/>
          <w:szCs w:val="32"/>
        </w:rPr>
        <w:t>屠宰场建设经营主体的公告》，对建设经营主体要求已清楚，若获得该屠宰场建设经营权，我公司郑重</w:t>
      </w:r>
      <w:r>
        <w:rPr>
          <w:rFonts w:hint="eastAsia" w:ascii="仿宋_GB2312" w:hAnsi="仿宋_GB2312" w:eastAsia="仿宋_GB2312" w:cs="仿宋_GB2312"/>
          <w:sz w:val="32"/>
          <w:szCs w:val="32"/>
          <w:lang w:eastAsia="zh-CN"/>
        </w:rPr>
        <w:t>作出如下</w:t>
      </w:r>
      <w:r>
        <w:rPr>
          <w:rFonts w:hint="eastAsia" w:ascii="仿宋_GB2312" w:hAnsi="仿宋_GB2312" w:eastAsia="仿宋_GB2312" w:cs="仿宋_GB2312"/>
          <w:sz w:val="32"/>
          <w:szCs w:val="32"/>
        </w:rPr>
        <w:t>承诺:</w:t>
      </w:r>
    </w:p>
    <w:p>
      <w:pPr>
        <w:numPr>
          <w:ilvl w:val="0"/>
          <w:numId w:val="1"/>
        </w:num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在项目用地使用权挂牌出让公告截止时间前，在</w:t>
      </w:r>
      <w:r>
        <w:rPr>
          <w:rFonts w:hint="eastAsia" w:ascii="仿宋_GB2312" w:hAnsi="仿宋_GB2312" w:eastAsia="仿宋_GB2312" w:cs="仿宋_GB2312"/>
          <w:sz w:val="32"/>
          <w:szCs w:val="32"/>
          <w:lang w:eastAsia="zh-CN"/>
        </w:rPr>
        <w:t>连山壮族瑶族自治县</w:t>
      </w:r>
      <w:r>
        <w:rPr>
          <w:rFonts w:hint="eastAsia" w:ascii="仿宋_GB2312" w:hAnsi="仿宋_GB2312" w:eastAsia="仿宋_GB2312" w:cs="仿宋_GB2312"/>
          <w:sz w:val="32"/>
          <w:szCs w:val="32"/>
        </w:rPr>
        <w:t>完成本公司</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控股的子公司（以下简称“运行企业”）工</w:t>
      </w:r>
      <w:r>
        <w:rPr>
          <w:rFonts w:hint="eastAsia" w:ascii="仿宋_GB2312" w:hAnsi="仿宋_GB2312" w:eastAsia="仿宋_GB2312" w:cs="仿宋_GB2312"/>
          <w:color w:val="auto"/>
          <w:sz w:val="32"/>
          <w:szCs w:val="32"/>
        </w:rPr>
        <w:t>商注册及税务登记，并20年内不迁出</w:t>
      </w:r>
      <w:r>
        <w:rPr>
          <w:rFonts w:hint="eastAsia" w:ascii="仿宋_GB2312" w:hAnsi="仿宋_GB2312" w:eastAsia="仿宋_GB2312" w:cs="仿宋_GB2312"/>
          <w:color w:val="auto"/>
          <w:sz w:val="32"/>
          <w:szCs w:val="32"/>
          <w:lang w:eastAsia="zh-CN"/>
        </w:rPr>
        <w:t>连山</w:t>
      </w:r>
      <w:r>
        <w:rPr>
          <w:rFonts w:hint="eastAsia" w:ascii="仿宋_GB2312" w:hAnsi="仿宋_GB2312" w:eastAsia="仿宋_GB2312" w:cs="仿宋_GB2312"/>
          <w:color w:val="auto"/>
          <w:sz w:val="32"/>
          <w:szCs w:val="32"/>
        </w:rPr>
        <w:t>或改变纳税和统计义务。</w:t>
      </w:r>
    </w:p>
    <w:p>
      <w:pPr>
        <w:numPr>
          <w:ilvl w:val="0"/>
          <w:numId w:val="1"/>
        </w:num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市场出现猪肉供应紧张的情况下，根据</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政府的保供要求，运营企业主动承担</w:t>
      </w:r>
      <w:r>
        <w:rPr>
          <w:rFonts w:hint="eastAsia" w:ascii="仿宋_GB2312" w:hAnsi="仿宋_GB2312" w:eastAsia="仿宋_GB2312" w:cs="仿宋_GB2312"/>
          <w:color w:val="auto"/>
          <w:sz w:val="32"/>
          <w:szCs w:val="32"/>
          <w:lang w:eastAsia="zh-CN"/>
        </w:rPr>
        <w:t>连山壮族瑶族自治县</w:t>
      </w:r>
      <w:bookmarkStart w:id="0" w:name="_GoBack"/>
      <w:bookmarkEnd w:id="0"/>
      <w:r>
        <w:rPr>
          <w:rFonts w:hint="eastAsia" w:ascii="仿宋_GB2312" w:hAnsi="仿宋_GB2312" w:eastAsia="仿宋_GB2312" w:cs="仿宋_GB2312"/>
          <w:color w:val="auto"/>
          <w:sz w:val="32"/>
          <w:szCs w:val="32"/>
        </w:rPr>
        <w:t>市场生猪供应的社会责任，积极协调关联企业的生猪养殖基地依法依规调运生猪至</w:t>
      </w:r>
      <w:r>
        <w:rPr>
          <w:rFonts w:hint="eastAsia" w:ascii="仿宋_GB2312" w:hAnsi="仿宋_GB2312" w:eastAsia="仿宋_GB2312" w:cs="仿宋_GB2312"/>
          <w:color w:val="auto"/>
          <w:sz w:val="32"/>
          <w:szCs w:val="32"/>
          <w:lang w:eastAsia="zh-CN"/>
        </w:rPr>
        <w:t>连山</w:t>
      </w:r>
      <w:r>
        <w:rPr>
          <w:rFonts w:hint="eastAsia" w:ascii="仿宋_GB2312" w:hAnsi="仿宋_GB2312" w:eastAsia="仿宋_GB2312" w:cs="仿宋_GB2312"/>
          <w:color w:val="auto"/>
          <w:sz w:val="32"/>
          <w:szCs w:val="32"/>
        </w:rPr>
        <w:t>，保障肉品稳定供应。</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三、已充分了解国家现行生猪调运政策并及时跟进今后政策调整情况，对屠宰场运营自负盈亏、自担风险。</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highlight w:val="none"/>
          <w:lang w:eastAsia="zh-CN"/>
        </w:rPr>
        <w:t>未经县政府批准同意，不擅自改变规划土地用途；</w:t>
      </w:r>
      <w:r>
        <w:rPr>
          <w:rFonts w:hint="eastAsia" w:ascii="仿宋_GB2312" w:hAnsi="仿宋_GB2312" w:eastAsia="仿宋_GB2312" w:cs="仿宋_GB2312"/>
          <w:color w:val="auto"/>
          <w:sz w:val="32"/>
          <w:szCs w:val="32"/>
        </w:rPr>
        <w:t>未经主管部门同意，不转让、转包、出租和互换屠宰场经营权。</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0"/>
          <w:szCs w:val="30"/>
        </w:rPr>
        <w:t>从土地成</w:t>
      </w:r>
      <w:r>
        <w:rPr>
          <w:rFonts w:hint="eastAsia" w:ascii="仿宋_GB2312" w:hAnsi="仿宋_GB2312" w:eastAsia="仿宋_GB2312" w:cs="仿宋_GB2312"/>
          <w:color w:val="auto"/>
          <w:sz w:val="32"/>
          <w:szCs w:val="32"/>
        </w:rPr>
        <w:t>交之日起一年内完成屠宰场的建设并投产，逾期未投产，接受按2倍土地出让金缴交违约金和赔偿金。因未按期缴交违约金和赔偿金，导致推迟验收、颁证发牌的，后果自行承担。</w:t>
      </w:r>
    </w:p>
    <w:p>
      <w:pPr>
        <w:spacing w:line="600" w:lineRule="exact"/>
        <w:ind w:firstLine="640" w:firstLineChars="200"/>
        <w:rPr>
          <w:rFonts w:hint="eastAsia"/>
          <w:color w:val="auto"/>
        </w:rPr>
      </w:pPr>
      <w:r>
        <w:rPr>
          <w:rFonts w:hint="eastAsia" w:ascii="仿宋_GB2312" w:hAnsi="仿宋_GB2312" w:eastAsia="仿宋_GB2312" w:cs="仿宋_GB2312"/>
          <w:color w:val="auto"/>
          <w:sz w:val="32"/>
          <w:szCs w:val="32"/>
        </w:rPr>
        <w:t>六、在建设过程中，因自身原因导致屠宰场项目建设停滞或终止且时间超3个月的，接受定点屠宰场建设经营主体资格被取消，退出屠宰场建设，认可其投入屠宰场建设的固定资产评估价格作为其前期投入的补偿依据。</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七、屠宰场建设内容达到《生猪屠宰企业资质等级要求》（NY/T 3348-2018）4A级及以上标准，屠宰场投资强度不低于屠宰场地块的投资强度标准要求。</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八、在屠宰场建设中设置牛、羊屠宰生产线，并开展牛羊屠宰业务。</w:t>
      </w:r>
    </w:p>
    <w:p>
      <w:pPr>
        <w:pStyle w:val="2"/>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九、按照《畜禽屠宰加工卫生规范》（GB 12694-2016）、《畜禽屠宰操作规程 生猪》（GB/T 17236-2019）、《生猪屠宰产品品质检验规程》（GB/T 17996-1999）等有关规定进行生产，配备与屠宰规模相适应且经过专业技术培训合格并获得体检证明的屠宰操作人员和肉品检验人员。</w:t>
      </w:r>
    </w:p>
    <w:p>
      <w:pPr>
        <w:pStyle w:val="2"/>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十、由运营企业参与屠宰场项目用地使用权竞拍并最终获得项目用地。</w:t>
      </w:r>
    </w:p>
    <w:p>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十一、在规划建设前</w:t>
      </w:r>
      <w:r>
        <w:rPr>
          <w:rFonts w:hint="eastAsia" w:ascii="仿宋_GB2312" w:hAnsi="仿宋_GB2312" w:eastAsia="仿宋_GB2312" w:cs="仿宋_GB2312"/>
          <w:sz w:val="32"/>
          <w:szCs w:val="32"/>
        </w:rPr>
        <w:t>，自行建设相关环境保护设施，并落实环评审批制度。</w:t>
      </w:r>
    </w:p>
    <w:p>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十二、在投产验收前，运营企业完成视频监管网络系统安装。在生猪进场查验区域、生猪待宰间、屠宰车间、产品出场（包装）车间、无害化处理车间等重点区域安装高清监控设备，建立无死角</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"https://insytone.com/"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视频监控</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系统，将生猪屠宰全过程通过视频信号传输到监管部门及场外展示平台。</w:t>
      </w:r>
    </w:p>
    <w:p>
      <w:pPr>
        <w:tabs>
          <w:tab w:val="left" w:pos="0"/>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在规划、建设和投产运营等各阶段若违反上述承诺的，我公司愿意承担一切经济责任及由此造成的一切法律后果。</w:t>
      </w:r>
    </w:p>
    <w:p>
      <w:pPr>
        <w:ind w:firstLine="2240" w:firstLineChars="700"/>
        <w:rPr>
          <w:rFonts w:hint="eastAsia" w:ascii="仿宋_GB2312" w:eastAsia="仿宋_GB2312"/>
          <w:sz w:val="32"/>
          <w:szCs w:val="32"/>
        </w:rPr>
      </w:pPr>
    </w:p>
    <w:p>
      <w:pPr>
        <w:ind w:firstLine="2240" w:firstLineChars="700"/>
        <w:rPr>
          <w:rFonts w:hint="eastAsia" w:ascii="仿宋_GB2312" w:eastAsia="仿宋_GB2312"/>
          <w:sz w:val="32"/>
          <w:szCs w:val="32"/>
        </w:rPr>
      </w:pPr>
    </w:p>
    <w:p>
      <w:pPr>
        <w:ind w:firstLine="2240" w:firstLineChars="700"/>
        <w:rPr>
          <w:rFonts w:hint="eastAsia" w:ascii="仿宋_GB2312" w:eastAsia="仿宋_GB2312"/>
          <w:sz w:val="32"/>
          <w:szCs w:val="32"/>
        </w:rPr>
      </w:pPr>
      <w:r>
        <w:rPr>
          <w:rFonts w:hint="eastAsia" w:ascii="仿宋_GB2312" w:eastAsia="仿宋_GB2312"/>
          <w:sz w:val="32"/>
          <w:szCs w:val="32"/>
        </w:rPr>
        <w:t>承诺方（盖公章）：</w:t>
      </w:r>
    </w:p>
    <w:p>
      <w:pPr>
        <w:wordWrap w:val="0"/>
        <w:ind w:firstLine="640" w:firstLineChars="200"/>
        <w:jc w:val="right"/>
        <w:rPr>
          <w:rFonts w:hint="eastAsia" w:ascii="仿宋_GB2312" w:eastAsia="仿宋_GB2312"/>
          <w:sz w:val="32"/>
          <w:szCs w:val="32"/>
        </w:rPr>
      </w:pPr>
      <w:r>
        <w:rPr>
          <w:rFonts w:hint="eastAsia" w:ascii="仿宋_GB2312" w:eastAsia="仿宋_GB2312"/>
          <w:sz w:val="32"/>
          <w:szCs w:val="32"/>
        </w:rPr>
        <w:t xml:space="preserve">      </w:t>
      </w:r>
    </w:p>
    <w:p>
      <w:pPr>
        <w:wordWrap w:val="0"/>
        <w:ind w:firstLine="640" w:firstLineChars="200"/>
        <w:jc w:val="right"/>
        <w:rPr>
          <w:rFonts w:ascii="仿宋_GB2312" w:eastAsia="仿宋_GB2312"/>
          <w:sz w:val="32"/>
          <w:szCs w:val="32"/>
        </w:rPr>
      </w:pPr>
      <w:r>
        <w:rPr>
          <w:rFonts w:hint="eastAsia" w:ascii="仿宋_GB2312" w:eastAsia="仿宋_GB2312"/>
          <w:sz w:val="32"/>
          <w:szCs w:val="32"/>
        </w:rPr>
        <w:t xml:space="preserve">法定代表人（签名）：                    </w:t>
      </w:r>
    </w:p>
    <w:p>
      <w:pPr>
        <w:wordWrap w:val="0"/>
        <w:ind w:firstLine="640" w:firstLineChars="200"/>
        <w:jc w:val="right"/>
        <w:rPr>
          <w:rFonts w:ascii="仿宋_GB2312" w:eastAsia="仿宋_GB2312"/>
          <w:sz w:val="32"/>
          <w:szCs w:val="32"/>
        </w:rPr>
      </w:pPr>
      <w:r>
        <w:rPr>
          <w:rFonts w:hint="eastAsia" w:ascii="仿宋_GB2312" w:eastAsia="仿宋_GB2312"/>
          <w:sz w:val="32"/>
          <w:szCs w:val="32"/>
        </w:rPr>
        <w:t xml:space="preserve">    年    月   日                   </w:t>
      </w:r>
    </w:p>
    <w:p>
      <w:pPr>
        <w:pStyle w:val="2"/>
        <w:ind w:firstLine="0" w:firstLineChars="0"/>
        <w:rPr>
          <w:rFonts w:ascii="仿宋" w:hAnsi="仿宋" w:eastAsia="仿宋" w:cs="仿宋"/>
          <w:sz w:val="32"/>
          <w:szCs w:val="32"/>
        </w:rPr>
      </w:pPr>
    </w:p>
    <w:p>
      <w:pPr>
        <w:pStyle w:val="2"/>
        <w:ind w:firstLine="0" w:firstLineChars="0"/>
        <w:rPr>
          <w:rFonts w:ascii="仿宋" w:hAnsi="仿宋" w:eastAsia="仿宋" w:cs="仿宋"/>
          <w:sz w:val="32"/>
          <w:szCs w:val="32"/>
        </w:rPr>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 PAGE   \* MERGEFORMAT </w:instrText>
    </w:r>
    <w:r>
      <w:fldChar w:fldCharType="separate"/>
    </w:r>
    <w:r>
      <w:rPr>
        <w:lang w:val="zh-CN"/>
      </w:rPr>
      <w:t>-</w:t>
    </w:r>
    <w:r>
      <w:t xml:space="preserve"> 4 -</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59142"/>
    <w:multiLevelType w:val="singleLevel"/>
    <w:tmpl w:val="6255914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5239E"/>
    <w:rsid w:val="5FF5239E"/>
    <w:rsid w:val="67802C9B"/>
    <w:rsid w:val="6FA13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tabs>
        <w:tab w:val="left" w:pos="3380"/>
      </w:tabs>
      <w:ind w:firstLine="420" w:firstLineChars="200"/>
    </w:pPr>
  </w:style>
  <w:style w:type="paragraph" w:styleId="3">
    <w:name w:val="Body Text Indent"/>
    <w:basedOn w:val="1"/>
    <w:qFormat/>
    <w:uiPriority w:val="0"/>
    <w:pPr>
      <w:tabs>
        <w:tab w:val="left" w:pos="3380"/>
      </w:tabs>
      <w:ind w:firstLine="640" w:firstLineChars="200"/>
    </w:pPr>
    <w:rPr>
      <w:rFonts w:eastAsia="仿宋_GB2312"/>
      <w:sz w:val="32"/>
    </w:rPr>
  </w:style>
  <w:style w:type="paragraph" w:styleId="4">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2024-05-23T00:19:00Z</dcterms:created>
  <dc:creator>shan</dc:creator>
  <cp:lastModifiedBy>shan</cp:lastModifiedBy>
  <dcterms:modified xsi:type="dcterms:W3CDTF">2024-06-13T00:30:45Z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