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position w:val="-4"/>
          <w:sz w:val="32"/>
          <w:szCs w:val="32"/>
        </w:rPr>
      </w:pPr>
      <w:r>
        <w:rPr>
          <w:rFonts w:hint="eastAsia" w:ascii="黑体" w:hAnsi="黑体" w:eastAsia="黑体" w:cs="黑体"/>
          <w:bCs/>
          <w:position w:val="-4"/>
          <w:sz w:val="32"/>
          <w:szCs w:val="32"/>
        </w:rPr>
        <w:t>附件</w:t>
      </w:r>
    </w:p>
    <w:p>
      <w:pPr>
        <w:spacing w:line="440" w:lineRule="exact"/>
        <w:rPr>
          <w:rFonts w:hint="eastAsia" w:ascii="黑体" w:hAnsi="黑体" w:eastAsia="黑体" w:cs="黑体"/>
          <w:bCs/>
          <w:position w:val="-4"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清远市生态环境局连山分局2023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年度双随机抽查工作计划</w:t>
      </w:r>
    </w:p>
    <w:p>
      <w:pPr>
        <w:spacing w:line="320" w:lineRule="exact"/>
        <w:jc w:val="center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tbl>
      <w:tblPr>
        <w:tblStyle w:val="3"/>
        <w:tblW w:w="1329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52"/>
        <w:gridCol w:w="981"/>
        <w:gridCol w:w="4808"/>
        <w:gridCol w:w="2442"/>
        <w:gridCol w:w="1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36" w:hRule="atLeast"/>
          <w:tblHeader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抽查计划名称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抽取日期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93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清远市生态环境局连山分局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年度双随机抽查工作计划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排污单位、建设项目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双随机抽查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是否有环评审批、是否有环保验收、是否取得排污许可证、是否发现扩建项目及污染治理设施是否正常运行；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至少对本行政区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5%的重点排污企业进行抽查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，对本行政区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10%的一般排污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的企业进行抽查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清远市生态环境局连山分局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年度双随机抽查工作计划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跨部门联合抽查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Chars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跨部门联合抽查</w:t>
            </w:r>
            <w:bookmarkStart w:id="0" w:name="_GoBack"/>
            <w:bookmarkEnd w:id="0"/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Chars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开展不少于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次跨部门联合抽查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Chars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月底前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1B2A"/>
    <w:multiLevelType w:val="multilevel"/>
    <w:tmpl w:val="79DB1B2A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01F98"/>
    <w:rsid w:val="19AD3E78"/>
    <w:rsid w:val="394A6A05"/>
    <w:rsid w:val="495810EE"/>
    <w:rsid w:val="63801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2022-03-21T02:06:00Z</dcterms:created>
  <dc:creator>赵颖</dc:creator>
  <cp:lastModifiedBy>Sunflower1371011305</cp:lastModifiedBy>
  <dcterms:modified xsi:type="dcterms:W3CDTF">2023-02-24T01:43:45Z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