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both"/>
        <w:rPr>
          <w:rFonts w:ascii="Times New Roman" w:hAnsi="Times New Roman"/>
        </w:rPr>
      </w:pPr>
      <w:r>
        <w:rPr>
          <w:rFonts w:hint="eastAsia" w:ascii="方正小标宋_GBK" w:hAnsi="方正小标宋_GBK" w:eastAsia="方正小标宋_GBK" w:cs="方正小标宋_GBK"/>
          <w:b/>
          <w:bCs/>
          <w:lang w:val="en-US" w:eastAsia="zh-CN"/>
        </w:rPr>
        <w:t xml:space="preserve">        2023年</w:t>
      </w:r>
      <w:r>
        <w:rPr>
          <w:rFonts w:hint="eastAsia" w:ascii="方正小标宋_GBK" w:hAnsi="方正小标宋_GBK" w:eastAsia="方正小标宋_GBK" w:cs="方正小标宋_GBK"/>
          <w:b/>
          <w:bCs/>
          <w:lang w:eastAsia="zh-CN"/>
        </w:rPr>
        <w:t>清远市生态环境</w:t>
      </w:r>
      <w:r>
        <w:rPr>
          <w:rFonts w:hint="eastAsia" w:ascii="方正小标宋_GBK" w:hAnsi="方正小标宋_GBK" w:eastAsia="方正小标宋_GBK" w:cs="方正小标宋_GBK"/>
          <w:b/>
          <w:bCs/>
        </w:rPr>
        <w:t>局</w:t>
      </w:r>
      <w:r>
        <w:rPr>
          <w:rFonts w:hint="eastAsia" w:ascii="方正小标宋_GBK" w:hAnsi="方正小标宋_GBK" w:eastAsia="方正小标宋_GBK" w:cs="方正小标宋_GBK"/>
          <w:b/>
          <w:bCs/>
          <w:lang w:eastAsia="zh-CN"/>
        </w:rPr>
        <w:t>连山分局</w:t>
      </w:r>
      <w:r>
        <w:rPr>
          <w:rFonts w:hint="eastAsia" w:ascii="方正小标宋_GBK" w:hAnsi="方正小标宋_GBK" w:eastAsia="方正小标宋_GBK" w:cs="方正小标宋_GBK"/>
          <w:b/>
          <w:bCs/>
        </w:rPr>
        <w:t>随机抽查事项清单</w:t>
      </w:r>
      <w:bookmarkStart w:id="0" w:name="_GoBack"/>
      <w:bookmarkEnd w:id="0"/>
    </w:p>
    <w:tbl>
      <w:tblPr>
        <w:tblStyle w:val="3"/>
        <w:tblpPr w:leftFromText="180" w:rightFromText="180" w:vertAnchor="text" w:horzAnchor="page" w:tblpX="1576" w:tblpY="456"/>
        <w:tblOverlap w:val="never"/>
        <w:tblW w:w="13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00"/>
        <w:gridCol w:w="1260"/>
        <w:gridCol w:w="1507"/>
        <w:gridCol w:w="2214"/>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序号</w:t>
            </w:r>
          </w:p>
        </w:tc>
        <w:tc>
          <w:tcPr>
            <w:tcW w:w="1200" w:type="dxa"/>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抽查事项</w:t>
            </w:r>
          </w:p>
        </w:tc>
        <w:tc>
          <w:tcPr>
            <w:tcW w:w="1260" w:type="dxa"/>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抽查主体</w:t>
            </w:r>
          </w:p>
        </w:tc>
        <w:tc>
          <w:tcPr>
            <w:tcW w:w="1507" w:type="dxa"/>
            <w:vAlign w:val="center"/>
          </w:tcPr>
          <w:p>
            <w:pPr>
              <w:autoSpaceDN w:val="0"/>
              <w:jc w:val="center"/>
              <w:textAlignment w:val="center"/>
              <w:rPr>
                <w:rFonts w:hint="eastAsia" w:ascii="黑体" w:hAnsi="黑体" w:eastAsia="黑体" w:cs="黑体"/>
                <w:b w:val="0"/>
                <w:i w:val="0"/>
                <w:color w:val="000000"/>
                <w:sz w:val="24"/>
                <w:szCs w:val="24"/>
                <w:u w:val="none"/>
                <w:lang w:eastAsia="zh-CN"/>
              </w:rPr>
            </w:pPr>
            <w:r>
              <w:rPr>
                <w:rFonts w:hint="eastAsia" w:ascii="黑体" w:hAnsi="黑体" w:eastAsia="黑体" w:cs="黑体"/>
                <w:b w:val="0"/>
                <w:i w:val="0"/>
                <w:color w:val="000000"/>
                <w:sz w:val="24"/>
                <w:szCs w:val="24"/>
                <w:u w:val="none"/>
                <w:lang w:eastAsia="zh-CN"/>
              </w:rPr>
              <w:t>抽查方式</w:t>
            </w:r>
          </w:p>
        </w:tc>
        <w:tc>
          <w:tcPr>
            <w:tcW w:w="2214" w:type="dxa"/>
            <w:vAlign w:val="center"/>
          </w:tcPr>
          <w:p>
            <w:pPr>
              <w:autoSpaceDN w:val="0"/>
              <w:jc w:val="center"/>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抽查内容</w:t>
            </w:r>
          </w:p>
        </w:tc>
        <w:tc>
          <w:tcPr>
            <w:tcW w:w="6884" w:type="dxa"/>
            <w:vAlign w:val="center"/>
          </w:tcPr>
          <w:p>
            <w:pPr>
              <w:autoSpaceDN w:val="0"/>
              <w:ind w:firstLine="1440" w:firstLineChars="600"/>
              <w:jc w:val="left"/>
              <w:textAlignment w:val="center"/>
              <w:rPr>
                <w:rFonts w:hint="eastAsia" w:ascii="黑体" w:hAnsi="黑体" w:eastAsia="黑体" w:cs="黑体"/>
                <w:sz w:val="24"/>
                <w:szCs w:val="24"/>
              </w:rPr>
            </w:pPr>
            <w:r>
              <w:rPr>
                <w:rFonts w:hint="eastAsia" w:ascii="黑体" w:hAnsi="黑体" w:eastAsia="黑体" w:cs="黑体"/>
                <w:b w:val="0"/>
                <w:i w:val="0"/>
                <w:color w:val="000000"/>
                <w:sz w:val="24"/>
                <w:szCs w:val="24"/>
                <w:u w:val="none"/>
                <w:lang w:eastAsia="zh-CN"/>
              </w:rPr>
              <w:t>抽查依据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1</w:t>
            </w:r>
          </w:p>
        </w:tc>
        <w:tc>
          <w:tcPr>
            <w:tcW w:w="120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环保相关手续情况</w:t>
            </w:r>
          </w:p>
        </w:tc>
        <w:tc>
          <w:tcPr>
            <w:tcW w:w="126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企业</w:t>
            </w:r>
          </w:p>
        </w:tc>
        <w:tc>
          <w:tcPr>
            <w:tcW w:w="1507" w:type="dxa"/>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实地核查</w:t>
            </w:r>
          </w:p>
        </w:tc>
        <w:tc>
          <w:tcPr>
            <w:tcW w:w="2214" w:type="dxa"/>
            <w:vAlign w:val="center"/>
          </w:tcPr>
          <w:p>
            <w:pPr>
              <w:autoSpaceDN w:val="0"/>
              <w:jc w:val="center"/>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eastAsia="zh-CN"/>
              </w:rPr>
              <w:t>1.建设项目环境影响评价文件审批;2.建设项目发生重大变化后，环境影响评价文件的重新审批（含环境影响报告超过5年的审核）</w:t>
            </w: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建设单位未依《环境影响评价法》报批建设项目环境影响评价文件，或者未依照《环境影响评价法》第二十四条的规定重新报批或者报请重新审核环境影响评价文件，擅自开工建设，经责令停止建设、限期补办手续而逾期不补办手续的</w:t>
            </w:r>
          </w:p>
          <w:p>
            <w:pPr>
              <w:autoSpaceDN w:val="0"/>
              <w:jc w:val="center"/>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4.</w:t>
            </w:r>
            <w:r>
              <w:rPr>
                <w:rFonts w:hint="eastAsia" w:ascii="仿宋_GB2312" w:hAnsi="仿宋_GB2312" w:eastAsia="仿宋_GB2312" w:cs="仿宋_GB2312"/>
                <w:b w:val="0"/>
                <w:i w:val="0"/>
                <w:color w:val="000000"/>
                <w:sz w:val="20"/>
                <w:szCs w:val="20"/>
                <w:u w:val="none"/>
                <w:lang w:eastAsia="zh-CN"/>
              </w:rPr>
              <w:t>建设项目环境影响评价文件未经批准或者未经原审批部门重新审核同意，建设单位</w:t>
            </w:r>
          </w:p>
          <w:p>
            <w:p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eastAsia="zh-CN"/>
              </w:rPr>
              <w:t>擅自开工建设的</w:t>
            </w:r>
          </w:p>
          <w:p>
            <w:p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5.</w:t>
            </w:r>
            <w:r>
              <w:rPr>
                <w:rFonts w:hint="eastAsia" w:ascii="仿宋_GB2312" w:hAnsi="仿宋_GB2312" w:eastAsia="仿宋_GB2312" w:cs="仿宋_GB2312"/>
                <w:b w:val="0"/>
                <w:i w:val="0"/>
                <w:color w:val="000000"/>
                <w:sz w:val="20"/>
                <w:szCs w:val="20"/>
                <w:u w:val="none"/>
                <w:lang w:eastAsia="zh-CN"/>
              </w:rPr>
              <w:t>建设项目的水污染防治设施未建成、未经验收或者验收不合格，主体工程即投入生产或者使用的</w:t>
            </w:r>
          </w:p>
        </w:tc>
        <w:tc>
          <w:tcPr>
            <w:tcW w:w="6884" w:type="dxa"/>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eastAsia="zh-CN"/>
              </w:rPr>
              <w:t xml:space="preserve">1.《中华人民共和国环境影响评价法》（中华人民共和国主席令第二十四号）第二十二条：建设项目的环境影响评价文件，由建设单位按照国务院的规定报有审批权的环境保护行政主管部门审批；建设项目有行业主管部门的，其环境影响报告书或者环境影响报告表应当经行业主管部门预审后，报有审批权的环境保护行政主管部门审批。 海洋工程建设项目的海洋环境影响报告书的审批，依照《中华人民共和国海洋环境保护法》的规定办理。   </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eastAsia="zh-CN"/>
              </w:rPr>
              <w:t>2.《广东省人民政府关于印发广东省建设项目环境影响评价文件分级审批办法的通知》（粤府〔2019] 6 号）第五条 地级以上市生态环境主管部门负责审批按规定由国务院和省级生态环境主管部门审批以外的建设项目环境影响报告书、环境影响报告表，依法制定、调整和发布具体名录，并报省级生态环境主管部门备案。</w:t>
            </w:r>
          </w:p>
          <w:p>
            <w:pPr>
              <w:autoSpaceDN w:val="0"/>
              <w:jc w:val="left"/>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环境影响评价法》第三十一条：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val="en-US" w:eastAsia="zh-CN"/>
              </w:rPr>
              <w:t>4.</w:t>
            </w:r>
            <w:r>
              <w:rPr>
                <w:rFonts w:hint="eastAsia" w:ascii="仿宋_GB2312" w:hAnsi="仿宋_GB2312" w:eastAsia="仿宋_GB2312" w:cs="仿宋_GB2312"/>
                <w:b w:val="0"/>
                <w:i w:val="0"/>
                <w:color w:val="auto"/>
                <w:sz w:val="18"/>
                <w:u w:val="none"/>
                <w:lang w:eastAsia="zh-CN"/>
              </w:rPr>
              <w:t>《建设项目环境保护管理条例》第二十三条</w:t>
            </w:r>
            <w:r>
              <w:rPr>
                <w:rFonts w:hint="eastAsia" w:ascii="仿宋_GB2312" w:hAnsi="仿宋_GB2312" w:eastAsia="仿宋_GB2312" w:cs="仿宋_GB2312"/>
                <w:b w:val="0"/>
                <w:i w:val="0"/>
                <w:color w:val="000000"/>
                <w:sz w:val="18"/>
                <w:u w:val="none"/>
                <w:lang w:eastAsia="zh-CN"/>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_GB2312" w:hAnsi="仿宋_GB2312" w:eastAsia="仿宋_GB2312" w:cs="仿宋_GB2312"/>
                <w:b w:val="0"/>
                <w:i w:val="0"/>
                <w:color w:val="FF0000"/>
                <w:sz w:val="18"/>
                <w:u w:val="none"/>
                <w:lang w:eastAsia="zh-CN"/>
              </w:rPr>
              <w:br w:type="textWrapping"/>
            </w:r>
            <w:r>
              <w:rPr>
                <w:rFonts w:hint="eastAsia" w:ascii="仿宋_GB2312" w:hAnsi="仿宋_GB2312" w:eastAsia="仿宋_GB2312" w:cs="仿宋_GB2312"/>
                <w:b w:val="0"/>
                <w:i w:val="0"/>
                <w:color w:val="000000"/>
                <w:sz w:val="18"/>
                <w:u w:val="none"/>
                <w:lang w:eastAsia="zh-CN"/>
              </w:rPr>
              <w:t>违反本条例规定，建设单位未依法向社会公开环境保护设施验收报告的，由县级以上环境保护行政主管部门责令公开，处5万元以上20万元以下的罚款，并予以公告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trPr>
        <w:tc>
          <w:tcPr>
            <w:tcW w:w="78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val="en-US" w:eastAsia="zh-CN"/>
              </w:rPr>
              <w:t>2</w:t>
            </w:r>
          </w:p>
        </w:tc>
        <w:tc>
          <w:tcPr>
            <w:tcW w:w="1200" w:type="dxa"/>
            <w:vAlign w:val="center"/>
          </w:tcPr>
          <w:p>
            <w:pPr>
              <w:autoSpaceDN w:val="0"/>
              <w:jc w:val="center"/>
              <w:textAlignment w:val="center"/>
              <w:rPr>
                <w:rFonts w:hint="eastAsia" w:ascii="仿宋_GB2312" w:hAnsi="仿宋_GB2312" w:eastAsia="仿宋_GB2312" w:cs="仿宋_GB2312"/>
              </w:rPr>
            </w:pPr>
          </w:p>
        </w:tc>
        <w:tc>
          <w:tcPr>
            <w:tcW w:w="1260" w:type="dxa"/>
            <w:vAlign w:val="center"/>
          </w:tcPr>
          <w:p>
            <w:pPr>
              <w:autoSpaceDN w:val="0"/>
              <w:jc w:val="center"/>
              <w:textAlignment w:val="center"/>
              <w:rPr>
                <w:rFonts w:hint="eastAsia" w:ascii="仿宋_GB2312" w:hAnsi="仿宋_GB2312" w:eastAsia="仿宋_GB2312" w:cs="仿宋_GB2312"/>
              </w:rPr>
            </w:pPr>
          </w:p>
        </w:tc>
        <w:tc>
          <w:tcPr>
            <w:tcW w:w="1507"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vAlign w:val="center"/>
          </w:tcPr>
          <w:p>
            <w:pPr>
              <w:numPr>
                <w:ilvl w:val="0"/>
                <w:numId w:val="1"/>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eastAsia="zh-CN"/>
              </w:rPr>
              <w:t>建设项目需要配套建设的环境保护设施未建成、未经验收或者经验收不合格，主体工程正式投入生产或者使用的</w:t>
            </w:r>
            <w:r>
              <w:rPr>
                <w:rFonts w:hint="eastAsia" w:ascii="仿宋_GB2312" w:hAnsi="仿宋_GB2312" w:eastAsia="仿宋_GB2312" w:cs="仿宋_GB2312"/>
                <w:b w:val="0"/>
                <w:i w:val="0"/>
                <w:color w:val="000000"/>
                <w:sz w:val="20"/>
                <w:szCs w:val="20"/>
                <w:u w:val="none"/>
                <w:lang w:val="en-US" w:eastAsia="zh-CN"/>
              </w:rPr>
              <w:t>.</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违反《建设项目环境保护管理条例》规定，配套建设的环境保护设施未与主体工程同时投入试运行，经责令限期改正但逾期未改正的</w:t>
            </w:r>
            <w:r>
              <w:rPr>
                <w:rFonts w:hint="eastAsia" w:ascii="仿宋_GB2312" w:hAnsi="仿宋_GB2312" w:eastAsia="仿宋_GB2312" w:cs="仿宋_GB2312"/>
                <w:b w:val="0"/>
                <w:i w:val="0"/>
                <w:color w:val="000000"/>
                <w:sz w:val="20"/>
                <w:szCs w:val="20"/>
                <w:u w:val="none"/>
                <w:lang w:val="en-US" w:eastAsia="zh-CN"/>
              </w:rPr>
              <w:t>.</w:t>
            </w:r>
          </w:p>
        </w:tc>
        <w:tc>
          <w:tcPr>
            <w:tcW w:w="6884" w:type="dxa"/>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auto"/>
                <w:sz w:val="18"/>
                <w:u w:val="none"/>
                <w:lang w:val="en-US" w:eastAsia="zh-CN"/>
              </w:rPr>
              <w:t>1.</w:t>
            </w:r>
            <w:r>
              <w:rPr>
                <w:rFonts w:hint="eastAsia" w:ascii="仿宋_GB2312" w:hAnsi="仿宋_GB2312" w:eastAsia="仿宋_GB2312" w:cs="仿宋_GB2312"/>
                <w:b w:val="0"/>
                <w:i w:val="0"/>
                <w:color w:val="auto"/>
                <w:sz w:val="18"/>
                <w:u w:val="none"/>
                <w:lang w:eastAsia="zh-CN"/>
              </w:rPr>
              <w:t>《建设项目环境保护管理条例》第二十三条：违反本</w:t>
            </w:r>
            <w:r>
              <w:rPr>
                <w:rFonts w:hint="eastAsia" w:ascii="仿宋_GB2312" w:hAnsi="仿宋_GB2312" w:eastAsia="仿宋_GB2312" w:cs="仿宋_GB2312"/>
                <w:b w:val="0"/>
                <w:i w:val="0"/>
                <w:color w:val="000000"/>
                <w:sz w:val="18"/>
                <w:u w:val="none"/>
                <w:lang w:eastAsia="zh-CN"/>
              </w:rPr>
              <w:t>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违反本条例规定，建设单位未依法向社会公开环境保护设施验收报告的，由县级以上环境保护行政主管部门责令公开，处5万元以上20万元以下的罚款，并予以公告。</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《建设项目环境保护管理条例》（2017年）第二十三条。第二十三条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trPr>
        <w:tc>
          <w:tcPr>
            <w:tcW w:w="780" w:type="dxa"/>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3</w:t>
            </w:r>
          </w:p>
          <w:p>
            <w:pPr>
              <w:autoSpaceDN w:val="0"/>
              <w:jc w:val="center"/>
              <w:textAlignment w:val="center"/>
              <w:rPr>
                <w:rFonts w:hint="eastAsia" w:ascii="仿宋_GB2312" w:hAnsi="仿宋_GB2312" w:eastAsia="仿宋_GB2312" w:cs="仿宋_GB2312"/>
                <w:b w:val="0"/>
                <w:i w:val="0"/>
                <w:color w:val="000000"/>
                <w:sz w:val="24"/>
                <w:u w:val="none"/>
                <w:lang w:val="en-US" w:eastAsia="zh-CN"/>
              </w:rPr>
            </w:pPr>
          </w:p>
        </w:tc>
        <w:tc>
          <w:tcPr>
            <w:tcW w:w="1200" w:type="dxa"/>
            <w:vAlign w:val="center"/>
          </w:tcPr>
          <w:p>
            <w:pPr>
              <w:autoSpaceDN w:val="0"/>
              <w:jc w:val="center"/>
              <w:textAlignment w:val="center"/>
              <w:rPr>
                <w:rFonts w:hint="eastAsia" w:ascii="仿宋_GB2312" w:hAnsi="仿宋_GB2312" w:eastAsia="仿宋_GB2312" w:cs="仿宋_GB2312"/>
              </w:rPr>
            </w:pPr>
          </w:p>
        </w:tc>
        <w:tc>
          <w:tcPr>
            <w:tcW w:w="1260" w:type="dxa"/>
            <w:vAlign w:val="center"/>
          </w:tcPr>
          <w:p>
            <w:pPr>
              <w:autoSpaceDN w:val="0"/>
              <w:jc w:val="center"/>
              <w:textAlignment w:val="center"/>
              <w:rPr>
                <w:rFonts w:hint="eastAsia" w:ascii="仿宋_GB2312" w:hAnsi="仿宋_GB2312" w:eastAsia="仿宋_GB2312" w:cs="仿宋_GB2312"/>
              </w:rPr>
            </w:pPr>
          </w:p>
        </w:tc>
        <w:tc>
          <w:tcPr>
            <w:tcW w:w="1507"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违反《水污染防治法》规定，不正常使用水污染物处理设施，或者未经环境保护主管部门批准拆除、闲置水污染物处理设施的</w:t>
            </w:r>
            <w:r>
              <w:rPr>
                <w:rFonts w:hint="eastAsia" w:ascii="仿宋_GB2312" w:hAnsi="仿宋_GB2312" w:eastAsia="仿宋_GB2312" w:cs="仿宋_GB2312"/>
                <w:b w:val="0"/>
                <w:i w:val="0"/>
                <w:color w:val="000000"/>
                <w:sz w:val="20"/>
                <w:szCs w:val="20"/>
                <w:u w:val="none"/>
                <w:lang w:val="en-US" w:eastAsia="zh-CN"/>
              </w:rPr>
              <w:t>.</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违反法律、行政法规和国务院环境保护主管部门的规定设置排污口或者私设暗管的</w:t>
            </w:r>
          </w:p>
        </w:tc>
        <w:tc>
          <w:tcPr>
            <w:tcW w:w="6884" w:type="dxa"/>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eastAsia="zh-CN"/>
              </w:rPr>
              <w:t>违反本法规定，有下列行为之一的，由县级以上人民政府环境保护主管部门责令改正或者责令限制生产、停产整治，并处十万元以上一百万元以下的罚款；情节严重的，报经有批准权的人民政府批准，责令停业、关闭： (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0" w:type="dxa"/>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4</w:t>
            </w:r>
          </w:p>
        </w:tc>
        <w:tc>
          <w:tcPr>
            <w:tcW w:w="120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污染治理设施是否正常运行</w:t>
            </w:r>
          </w:p>
        </w:tc>
        <w:tc>
          <w:tcPr>
            <w:tcW w:w="1260"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企业</w:t>
            </w:r>
          </w:p>
        </w:tc>
        <w:tc>
          <w:tcPr>
            <w:tcW w:w="1507"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向大气排放污染物超过国家和地方规定排放标准的。</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中华人民共和国大气污染防治法》规定，有下列行为之一的：产生含挥发性有机物废气的生产和服务活动，应当在密闭空间或者设备中进行，并按照规定安装、使用污染防治设施；无法密闭的，应当采取措施减少废气排放。</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排放含有硫化物气体的石油炼制、合成氨生产、煤气和燃煤焦化以及有色金属冶炼的企业，不按照国家有关规定建设配套脱硫装置或者未采取其他脱硫措施的。</w:t>
            </w:r>
          </w:p>
        </w:tc>
        <w:tc>
          <w:tcPr>
            <w:tcW w:w="6884" w:type="dxa"/>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1.</w:t>
            </w:r>
            <w:r>
              <w:rPr>
                <w:rFonts w:hint="eastAsia" w:ascii="仿宋_GB2312" w:hAnsi="仿宋_GB2312" w:eastAsia="仿宋_GB2312" w:cs="仿宋_GB2312"/>
                <w:b w:val="0"/>
                <w:i w:val="0"/>
                <w:color w:val="000000"/>
                <w:sz w:val="18"/>
                <w:u w:val="none"/>
                <w:lang w:eastAsia="zh-CN"/>
              </w:rPr>
              <w:t>《中华人民共和国大气污染防治法》第九十九条：违反本法规定，有下列行为之一的，由县级以上人民政府生态环境主管部门责令改正或者限制生产、停产整治，并处十万元以上一百万元以下的罚款；情节严重的，报经有批准权的人民政府批准，责令停业、关闭：　（一）未依法取得排污许可证排放大气污染物的；（二）超过大气污染物排放标准或者超过重点大气污染物排放总量控制指标排放大气污染物的；（三）通过逃避监管的方式排放大气污染物的。</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中华人民共和国大气污染防治法》第一百零八条：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大气污染防治法》第六十条："违反本法规定，有下列行为之一的，由县级以上人民政府环境保护行政主管部门责令限期建设配套设施，可以处二万元以上二十万元以下罚款：......（二）排放含有硫化物气体的石油炼制、合成氨生产、煤气和燃煤焦化以及有色金属冶炼的企业，不按照国家有关规定建设配套脱硫装置或者未采取其他脱硫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0" w:type="dxa"/>
            <w:vAlign w:val="center"/>
          </w:tcPr>
          <w:p>
            <w:pPr>
              <w:autoSpaceDN w:val="0"/>
              <w:jc w:val="center"/>
              <w:textAlignment w:val="center"/>
              <w:rPr>
                <w:rFonts w:hint="eastAsia" w:ascii="仿宋_GB2312" w:hAnsi="仿宋_GB2312" w:eastAsia="仿宋_GB2312" w:cs="仿宋_GB2312"/>
                <w:b w:val="0"/>
                <w:i w:val="0"/>
                <w:color w:val="000000"/>
                <w:sz w:val="24"/>
                <w:u w:val="none"/>
                <w:lang w:val="en-US" w:eastAsia="zh-CN"/>
              </w:rPr>
            </w:pPr>
            <w:r>
              <w:rPr>
                <w:rFonts w:hint="eastAsia" w:ascii="仿宋_GB2312" w:hAnsi="仿宋_GB2312" w:eastAsia="仿宋_GB2312" w:cs="仿宋_GB2312"/>
                <w:b w:val="0"/>
                <w:i w:val="0"/>
                <w:color w:val="000000"/>
                <w:sz w:val="24"/>
                <w:u w:val="none"/>
                <w:lang w:val="en-US" w:eastAsia="zh-CN"/>
              </w:rPr>
              <w:t>5</w:t>
            </w:r>
          </w:p>
        </w:tc>
        <w:tc>
          <w:tcPr>
            <w:tcW w:w="1200" w:type="dxa"/>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其它</w:t>
            </w:r>
          </w:p>
        </w:tc>
        <w:tc>
          <w:tcPr>
            <w:tcW w:w="1260" w:type="dxa"/>
            <w:vAlign w:val="center"/>
          </w:tcPr>
          <w:p>
            <w:pPr>
              <w:autoSpaceDN w:val="0"/>
              <w:jc w:val="center"/>
              <w:textAlignment w:val="center"/>
              <w:rPr>
                <w:rFonts w:hint="eastAsia" w:ascii="仿宋_GB2312" w:hAnsi="仿宋_GB2312" w:eastAsia="仿宋_GB2312" w:cs="仿宋_GB2312"/>
                <w:b w:val="0"/>
                <w:i w:val="0"/>
                <w:color w:val="000000"/>
                <w:sz w:val="24"/>
                <w:u w:val="none"/>
                <w:lang w:eastAsia="zh-CN"/>
              </w:rPr>
            </w:pPr>
            <w:r>
              <w:rPr>
                <w:rFonts w:hint="eastAsia" w:ascii="仿宋_GB2312" w:hAnsi="仿宋_GB2312" w:eastAsia="仿宋_GB2312" w:cs="仿宋_GB2312"/>
                <w:b w:val="0"/>
                <w:i w:val="0"/>
                <w:color w:val="000000"/>
                <w:sz w:val="24"/>
                <w:u w:val="none"/>
                <w:lang w:eastAsia="zh-CN"/>
              </w:rPr>
              <w:t>企业</w:t>
            </w:r>
          </w:p>
        </w:tc>
        <w:tc>
          <w:tcPr>
            <w:tcW w:w="1507" w:type="dxa"/>
            <w:vAlign w:val="center"/>
          </w:tcPr>
          <w:p>
            <w:pPr>
              <w:autoSpaceDN w:val="0"/>
              <w:jc w:val="center"/>
              <w:textAlignment w:val="center"/>
              <w:rPr>
                <w:rFonts w:hint="eastAsia" w:ascii="仿宋_GB2312" w:hAnsi="仿宋_GB2312" w:eastAsia="仿宋_GB2312" w:cs="仿宋_GB2312"/>
              </w:rPr>
            </w:pPr>
            <w:r>
              <w:rPr>
                <w:rFonts w:hint="eastAsia" w:ascii="仿宋_GB2312" w:hAnsi="仿宋_GB2312" w:eastAsia="仿宋_GB2312" w:cs="仿宋_GB2312"/>
                <w:b w:val="0"/>
                <w:i w:val="0"/>
                <w:color w:val="000000"/>
                <w:sz w:val="24"/>
                <w:u w:val="none"/>
                <w:lang w:eastAsia="zh-CN"/>
              </w:rPr>
              <w:t>实地核查</w:t>
            </w:r>
          </w:p>
        </w:tc>
        <w:tc>
          <w:tcPr>
            <w:tcW w:w="2214" w:type="dxa"/>
            <w:vAlign w:val="center"/>
          </w:tcPr>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1.</w:t>
            </w:r>
            <w:r>
              <w:rPr>
                <w:rFonts w:hint="eastAsia" w:ascii="仿宋_GB2312" w:hAnsi="仿宋_GB2312" w:eastAsia="仿宋_GB2312" w:cs="仿宋_GB2312"/>
                <w:b w:val="0"/>
                <w:i w:val="0"/>
                <w:color w:val="000000"/>
                <w:sz w:val="20"/>
                <w:szCs w:val="20"/>
                <w:u w:val="none"/>
                <w:lang w:eastAsia="zh-CN"/>
              </w:rPr>
              <w:t>企业事业单位有下列行为之一的：</w:t>
            </w:r>
            <w:r>
              <w:rPr>
                <w:rFonts w:hint="eastAsia" w:ascii="仿宋_GB2312" w:hAnsi="仿宋_GB2312" w:eastAsia="仿宋_GB2312" w:cs="仿宋_GB2312"/>
                <w:b w:val="0"/>
                <w:i w:val="0"/>
                <w:color w:val="000000"/>
                <w:sz w:val="20"/>
                <w:szCs w:val="20"/>
                <w:u w:val="none"/>
                <w:lang w:eastAsia="zh-CN"/>
              </w:rPr>
              <w:br w:type="textWrapping"/>
            </w:r>
            <w:r>
              <w:rPr>
                <w:rFonts w:hint="eastAsia" w:ascii="仿宋_GB2312" w:hAnsi="仿宋_GB2312" w:eastAsia="仿宋_GB2312" w:cs="仿宋_GB2312"/>
                <w:b w:val="0"/>
                <w:i w:val="0"/>
                <w:color w:val="000000"/>
                <w:sz w:val="20"/>
                <w:szCs w:val="20"/>
                <w:u w:val="none"/>
                <w:lang w:eastAsia="zh-CN"/>
              </w:rPr>
              <w:t>（1）不按照规定制定水污染事故的应急方案的；</w:t>
            </w:r>
            <w:r>
              <w:rPr>
                <w:rFonts w:hint="eastAsia" w:ascii="仿宋_GB2312" w:hAnsi="仿宋_GB2312" w:eastAsia="仿宋_GB2312" w:cs="仿宋_GB2312"/>
                <w:b w:val="0"/>
                <w:i w:val="0"/>
                <w:color w:val="000000"/>
                <w:sz w:val="20"/>
                <w:szCs w:val="20"/>
                <w:u w:val="none"/>
                <w:lang w:eastAsia="zh-CN"/>
              </w:rPr>
              <w:br w:type="textWrapping"/>
            </w:r>
            <w:r>
              <w:rPr>
                <w:rFonts w:hint="eastAsia" w:ascii="仿宋_GB2312" w:hAnsi="仿宋_GB2312" w:eastAsia="仿宋_GB2312" w:cs="仿宋_GB2312"/>
                <w:b w:val="0"/>
                <w:i w:val="0"/>
                <w:color w:val="000000"/>
                <w:sz w:val="20"/>
                <w:szCs w:val="20"/>
                <w:u w:val="none"/>
                <w:lang w:eastAsia="zh-CN"/>
              </w:rPr>
              <w:t>（2）水污染事故发生后，未及时启动水污染事故的应急方案，采取有关应急措施的。</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eastAsia="zh-CN"/>
              </w:rPr>
            </w:pPr>
            <w:r>
              <w:rPr>
                <w:rFonts w:hint="eastAsia" w:ascii="仿宋_GB2312" w:hAnsi="仿宋_GB2312" w:eastAsia="仿宋_GB2312" w:cs="仿宋_GB2312"/>
                <w:b w:val="0"/>
                <w:i w:val="0"/>
                <w:color w:val="000000"/>
                <w:sz w:val="20"/>
                <w:szCs w:val="20"/>
                <w:u w:val="none"/>
                <w:lang w:val="en-US" w:eastAsia="zh-CN"/>
              </w:rPr>
              <w:t>2.</w:t>
            </w:r>
            <w:r>
              <w:rPr>
                <w:rFonts w:hint="eastAsia" w:ascii="仿宋_GB2312" w:hAnsi="仿宋_GB2312" w:eastAsia="仿宋_GB2312" w:cs="仿宋_GB2312"/>
                <w:b w:val="0"/>
                <w:i w:val="0"/>
                <w:color w:val="000000"/>
                <w:sz w:val="20"/>
                <w:szCs w:val="20"/>
                <w:u w:val="none"/>
                <w:lang w:eastAsia="zh-CN"/>
              </w:rPr>
              <w:t>违反《广东省环境保护条例》规定，排污单位不按照国家和省的规定设置排污口和管理排污口。</w:t>
            </w:r>
          </w:p>
          <w:p>
            <w:pPr>
              <w:numPr>
                <w:ilvl w:val="0"/>
                <w:numId w:val="0"/>
              </w:numPr>
              <w:autoSpaceDN w:val="0"/>
              <w:jc w:val="both"/>
              <w:textAlignment w:val="center"/>
              <w:rPr>
                <w:rFonts w:hint="eastAsia" w:ascii="仿宋_GB2312" w:hAnsi="仿宋_GB2312" w:eastAsia="仿宋_GB2312" w:cs="仿宋_GB2312"/>
                <w:b w:val="0"/>
                <w:i w:val="0"/>
                <w:color w:val="000000"/>
                <w:sz w:val="20"/>
                <w:szCs w:val="20"/>
                <w:u w:val="none"/>
                <w:lang w:val="en-US" w:eastAsia="zh-CN"/>
              </w:rPr>
            </w:pPr>
            <w:r>
              <w:rPr>
                <w:rFonts w:hint="eastAsia" w:ascii="仿宋_GB2312" w:hAnsi="仿宋_GB2312" w:eastAsia="仿宋_GB2312" w:cs="仿宋_GB2312"/>
                <w:b w:val="0"/>
                <w:i w:val="0"/>
                <w:color w:val="000000"/>
                <w:sz w:val="20"/>
                <w:szCs w:val="20"/>
                <w:u w:val="none"/>
                <w:lang w:val="en-US" w:eastAsia="zh-CN"/>
              </w:rPr>
              <w:t>3.</w:t>
            </w:r>
            <w:r>
              <w:rPr>
                <w:rFonts w:hint="eastAsia" w:ascii="仿宋_GB2312" w:hAnsi="仿宋_GB2312" w:eastAsia="仿宋_GB2312" w:cs="仿宋_GB2312"/>
                <w:b w:val="0"/>
                <w:i w:val="0"/>
                <w:color w:val="000000"/>
                <w:sz w:val="20"/>
                <w:szCs w:val="20"/>
                <w:u w:val="none"/>
                <w:lang w:eastAsia="zh-CN"/>
              </w:rPr>
              <w:t>违反《中华人民共和国大气污染防治法》第三十八条城市人民政府可以划定并公布高污染燃料禁燃区，并根据大气环境质量改善要求，逐步扩大高污染燃料禁燃区范围。高污染燃料的目录由国务院生态环境主管部门确定。在禁燃区内，禁止销售、燃用高污染燃料；禁止新建、扩建燃用高污染燃料的设施，已建成的，应当在城市人民政府规定的期限内改用天然气、页岩气、液化石油气、电或者其他清洁能源。</w:t>
            </w:r>
          </w:p>
        </w:tc>
        <w:tc>
          <w:tcPr>
            <w:tcW w:w="6884" w:type="dxa"/>
            <w:vAlign w:val="center"/>
          </w:tcPr>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1.</w:t>
            </w:r>
            <w:r>
              <w:rPr>
                <w:rFonts w:hint="eastAsia" w:ascii="仿宋_GB2312" w:hAnsi="仿宋_GB2312" w:eastAsia="仿宋_GB2312" w:cs="仿宋_GB2312"/>
                <w:b w:val="0"/>
                <w:i w:val="0"/>
                <w:color w:val="000000"/>
                <w:sz w:val="18"/>
                <w:u w:val="none"/>
                <w:lang w:eastAsia="zh-CN"/>
              </w:rPr>
              <w:t>《中华人民共和国水污染防治法》第九十三条  企业事业单位有下列行为之一的，由县级以上人民政府环境保护主管部门责令改正；情节严重的，处二万元以上十万元以下的罚款：（一）不按照规定制定水污染事故的应急方案的；（二）水污染事故发生后，未及时启动水污染事故的应急方案，采取有关应急措施的。</w:t>
            </w:r>
          </w:p>
          <w:p>
            <w:pPr>
              <w:autoSpaceDN w:val="0"/>
              <w:jc w:val="left"/>
              <w:textAlignment w:val="center"/>
              <w:rPr>
                <w:rFonts w:hint="eastAsia" w:ascii="仿宋_GB2312" w:hAnsi="仿宋_GB2312" w:eastAsia="仿宋_GB2312" w:cs="仿宋_GB2312"/>
                <w:b w:val="0"/>
                <w:i w:val="0"/>
                <w:color w:val="000000"/>
                <w:sz w:val="18"/>
                <w:u w:val="none"/>
                <w:lang w:eastAsia="zh-CN"/>
              </w:rPr>
            </w:pPr>
            <w:r>
              <w:rPr>
                <w:rFonts w:hint="eastAsia" w:ascii="仿宋_GB2312" w:hAnsi="仿宋_GB2312" w:eastAsia="仿宋_GB2312" w:cs="仿宋_GB2312"/>
                <w:b w:val="0"/>
                <w:i w:val="0"/>
                <w:color w:val="000000"/>
                <w:sz w:val="18"/>
                <w:u w:val="none"/>
                <w:lang w:val="en-US" w:eastAsia="zh-CN"/>
              </w:rPr>
              <w:t>2.</w:t>
            </w:r>
            <w:r>
              <w:rPr>
                <w:rFonts w:hint="eastAsia" w:ascii="仿宋_GB2312" w:hAnsi="仿宋_GB2312" w:eastAsia="仿宋_GB2312" w:cs="仿宋_GB2312"/>
                <w:b w:val="0"/>
                <w:i w:val="0"/>
                <w:color w:val="000000"/>
                <w:sz w:val="18"/>
                <w:u w:val="none"/>
                <w:lang w:eastAsia="zh-CN"/>
              </w:rPr>
              <w:t>《广东省环境保护条例》（广东省第十二届人民代表大会常务委员会第十三次会议于2015年1月13日修订通过，自2015年7月1日起施行）第二十五条企业事业单位和其他生产经营者应当按照国家和本省规定设置和管理排污口，并按照规定在排污口安装标志牌。禁止通过非核定的排污口排放污染物；禁止从污染物处理设施的中间工序引出并排放污染物。第六十九条　违反本条例第二十五条第一款规定，企业事业单位和其他生产经营者未按照国家和本省规定设置、管理排污口的，由县级以上人民政府环境保护主管部门责令限期改正，并处五万元以上十万元以下罚款；逾期不改正的，处二十万元以上五十万元以下罚款；情节严重的，报经有批准权的人民政府批准，责令停业、关闭。企业事业单位和其他生产经营者未按照规定设置标志牌的，由县级以上人民政府环境保护主管部门责令限期改正；逾期不改正的，处二万元以上五万元以下罚款。违反本条例第二十五条第二款规定，企业事业单位和其他生产经营者通过非核定的排污口排放污染物或者从污染物处理设施的中间工序引出并排放污染物的，由县级以上人民政府环境保护主管部门责令限期改正，并处五万元以上十万元以下罚款；情节严重的，报经有批准权的人民政府批准，责令停业、关闭。</w:t>
            </w:r>
          </w:p>
          <w:p>
            <w:pPr>
              <w:autoSpaceDN w:val="0"/>
              <w:jc w:val="left"/>
              <w:textAlignment w:val="center"/>
              <w:rPr>
                <w:rFonts w:hint="eastAsia" w:ascii="仿宋_GB2312" w:hAnsi="仿宋_GB2312" w:eastAsia="仿宋_GB2312" w:cs="仿宋_GB2312"/>
                <w:b w:val="0"/>
                <w:i w:val="0"/>
                <w:color w:val="000000"/>
                <w:sz w:val="18"/>
                <w:u w:val="none"/>
                <w:lang w:val="en-US" w:eastAsia="zh-CN"/>
              </w:rPr>
            </w:pPr>
            <w:r>
              <w:rPr>
                <w:rFonts w:hint="eastAsia" w:ascii="仿宋_GB2312" w:hAnsi="仿宋_GB2312" w:eastAsia="仿宋_GB2312" w:cs="仿宋_GB2312"/>
                <w:b w:val="0"/>
                <w:i w:val="0"/>
                <w:color w:val="000000"/>
                <w:sz w:val="18"/>
                <w:u w:val="none"/>
                <w:lang w:val="en-US" w:eastAsia="zh-CN"/>
              </w:rPr>
              <w:t>3.</w:t>
            </w:r>
            <w:r>
              <w:rPr>
                <w:rFonts w:hint="eastAsia" w:ascii="仿宋_GB2312" w:hAnsi="仿宋_GB2312" w:eastAsia="仿宋_GB2312" w:cs="仿宋_GB2312"/>
                <w:b w:val="0"/>
                <w:i w:val="0"/>
                <w:color w:val="000000"/>
                <w:sz w:val="18"/>
                <w:u w:val="none"/>
                <w:lang w:eastAsia="zh-CN"/>
              </w:rPr>
              <w:t>《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r>
              <w:rPr>
                <w:rFonts w:hint="eastAsia" w:ascii="仿宋_GB2312" w:hAnsi="仿宋_GB2312" w:eastAsia="仿宋_GB2312" w:cs="仿宋_GB2312"/>
                <w:b w:val="0"/>
                <w:i w:val="0"/>
                <w:color w:val="000000"/>
                <w:sz w:val="18"/>
                <w:u w:val="none"/>
                <w:lang w:eastAsia="zh-CN"/>
              </w:rPr>
              <w:br w:type="textWrapping"/>
            </w:r>
            <w:r>
              <w:rPr>
                <w:rFonts w:hint="eastAsia" w:ascii="仿宋_GB2312" w:hAnsi="仿宋_GB2312" w:eastAsia="仿宋_GB2312" w:cs="仿宋_GB2312"/>
                <w:b w:val="0"/>
                <w:i w:val="0"/>
                <w:color w:val="000000"/>
                <w:sz w:val="18"/>
                <w:u w:val="none"/>
                <w:lang w:eastAsia="zh-CN"/>
              </w:rPr>
              <w:t>　　违反本法规定，生产、进口、销售或者使用不符合规定标准或者要求的锅炉，由县级以上人民政府市场监督管理、生态环境主管部门责令改正，没收违法所得，并处二万元以上二十万元以下的罚款。.</w:t>
            </w:r>
          </w:p>
        </w:tc>
      </w:tr>
    </w:tbl>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pPr>
        <w:widowControl w:val="0"/>
        <w:wordWrap/>
        <w:adjustRightInd/>
        <w:snapToGrid/>
        <w:spacing w:line="240" w:lineRule="exact"/>
        <w:ind w:left="0" w:leftChars="0" w:right="0" w:firstLine="0" w:firstLineChars="0"/>
        <w:jc w:val="both"/>
        <w:textAlignment w:val="auto"/>
        <w:outlineLvl w:val="9"/>
        <w:rPr>
          <w:rFonts w:hint="eastAsia" w:ascii="方正小标宋_GBK" w:hAnsi="方正小标宋_GBK" w:eastAsia="方正小标宋_GBK" w:cs="方正小标宋_GBK"/>
          <w:b w:val="0"/>
          <w:bCs w:val="0"/>
          <w:sz w:val="21"/>
          <w:szCs w:val="21"/>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FB74A-239D-4154-BF98-2F1862F2AC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4B5BA3-A28E-4FE7-A2D5-C8CA05E4586E}"/>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00000001" w:usb1="080E0000" w:usb2="00000000" w:usb3="00000000" w:csb0="00040000" w:csb1="00000000"/>
    <w:embedRegular r:id="rId3" w:fontKey="{7901AFF3-A7E7-4AFD-BF09-47DAB98FEA4E}"/>
  </w:font>
  <w:font w:name="仿宋_GB2312">
    <w:panose1 w:val="02010609030101010101"/>
    <w:charset w:val="86"/>
    <w:family w:val="auto"/>
    <w:pitch w:val="default"/>
    <w:sig w:usb0="00000001" w:usb1="080E0000" w:usb2="00000000" w:usb3="00000000" w:csb0="00040000" w:csb1="00000000"/>
    <w:embedRegular r:id="rId4" w:fontKey="{FA6EA8B1-F8EB-40E0-B28A-051593E55A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2EBEF"/>
    <w:multiLevelType w:val="singleLevel"/>
    <w:tmpl w:val="6292EB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NTI3ZWNiMGYyZmJlMGMwNTA0OWIxMzEwYjZiY2MifQ=="/>
  </w:docVars>
  <w:rsids>
    <w:rsidRoot w:val="44F05BD8"/>
    <w:rsid w:val="10C81744"/>
    <w:rsid w:val="44F05BD8"/>
    <w:rsid w:val="46453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eastAsia="黑体"/>
      <w:b/>
      <w:bCs/>
      <w:kern w:val="2"/>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2022-07-25T01:22:00Z</dcterms:created>
  <dc:creator>赵颖</dc:creator>
  <cp:lastModifiedBy>冯彦文</cp:lastModifiedBy>
  <dcterms:modified xsi:type="dcterms:W3CDTF">2023-11-21T01:07:52Z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C26EA977F3E14D26ADE67439FAF439AB_12</vt:lpwstr>
  </property>
</Properties>
</file>