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szCs w:val="36"/>
        </w:rPr>
      </w:pPr>
      <w:r>
        <w:rPr>
          <w:rFonts w:hint="eastAsia" w:ascii="黑体" w:hAnsi="黑体" w:eastAsia="黑体"/>
          <w:b/>
          <w:bCs/>
          <w:sz w:val="32"/>
          <w:szCs w:val="36"/>
        </w:rPr>
        <w:t>关于连山壮族瑶族自治县县级饮用水水源保护区划分及调整方案重大行政决策风险评估的信息公示</w:t>
      </w:r>
    </w:p>
    <w:p>
      <w:pPr>
        <w:jc w:val="center"/>
        <w:rPr>
          <w:rFonts w:hint="eastAsia" w:ascii="黑体" w:hAnsi="黑体" w:eastAsia="黑体"/>
          <w:b/>
          <w:bCs/>
          <w:sz w:val="32"/>
          <w:szCs w:val="36"/>
        </w:rPr>
      </w:pPr>
      <w:bookmarkStart w:id="0" w:name="_GoBack"/>
      <w:bookmarkEnd w:id="0"/>
    </w:p>
    <w:p>
      <w:pPr>
        <w:pStyle w:val="3"/>
        <w:ind w:firstLine="480"/>
        <w:jc w:val="both"/>
      </w:pPr>
      <w:r>
        <w:rPr>
          <w:rFonts w:hint="eastAsia"/>
        </w:rPr>
        <w:t>根据《中央办公厅、国务院办公厅关于建立健全重大决策社会稳定风险评估机制的指导意见（试行）》（中办发〔2012〕2号）、《国家发展改革委重大固定资产投资项目社会稳定风险评估暂行办法》（发改投资〔2012〕2492号）、《广东省发展改革委重大项目社会稳定风险评估暂行办法》（粤发改重点(2012)1095号）、《清远市人民政府重大行政决策风险评估办法（试行》（清府〔2014〕142号）等有关文件的要求，对连山壮族瑶族自治县县级饮用水水源保护区划分及调整方案重大行政决策风险进行评估，现将划分及调整方案有关信息进行公示，征询公众对该方案的意见和建议。</w:t>
      </w:r>
    </w:p>
    <w:p>
      <w:pPr>
        <w:pStyle w:val="3"/>
        <w:ind w:firstLine="562"/>
        <w:rPr>
          <w:rFonts w:ascii="黑体" w:hAnsi="黑体" w:eastAsia="黑体"/>
          <w:sz w:val="28"/>
          <w:szCs w:val="28"/>
        </w:rPr>
      </w:pPr>
      <w:r>
        <w:rPr>
          <w:rStyle w:val="13"/>
          <w:rFonts w:hint="eastAsia" w:ascii="黑体" w:hAnsi="黑体" w:eastAsia="黑体"/>
          <w:color w:val="000000"/>
          <w:sz w:val="28"/>
          <w:szCs w:val="28"/>
        </w:rPr>
        <w:t>一、方案名称</w:t>
      </w:r>
    </w:p>
    <w:p>
      <w:pPr>
        <w:pStyle w:val="3"/>
        <w:ind w:firstLine="480"/>
      </w:pPr>
      <w:r>
        <w:rPr>
          <w:rFonts w:hint="eastAsia"/>
        </w:rPr>
        <w:t>连山壮族瑶族自治县县级饮用水水源保护区划分及调整方案</w:t>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二、方案实施单位</w:t>
      </w:r>
    </w:p>
    <w:p>
      <w:pPr>
        <w:pStyle w:val="3"/>
        <w:ind w:firstLine="480"/>
      </w:pPr>
      <w:r>
        <w:rPr>
          <w:rFonts w:hint="eastAsia"/>
        </w:rPr>
        <w:t>单位名称：清远市生态环境局连山分局</w:t>
      </w:r>
    </w:p>
    <w:p>
      <w:pPr>
        <w:pStyle w:val="3"/>
        <w:ind w:firstLine="480"/>
      </w:pPr>
      <w:r>
        <w:rPr>
          <w:rFonts w:hint="eastAsia"/>
        </w:rPr>
        <w:t>单位地址： 清远市连山壮族瑶族自治县广德大道东</w:t>
      </w:r>
    </w:p>
    <w:p>
      <w:pPr>
        <w:pStyle w:val="3"/>
        <w:ind w:firstLine="480"/>
      </w:pPr>
      <w:r>
        <w:rPr>
          <w:rFonts w:hint="eastAsia"/>
        </w:rPr>
        <w:t>联系电话：</w:t>
      </w:r>
      <w:r>
        <w:t>0763</w:t>
      </w:r>
      <w:r>
        <w:rPr>
          <w:rFonts w:hint="eastAsia"/>
        </w:rPr>
        <w:t>-</w:t>
      </w:r>
      <w:r>
        <w:t>8713019</w:t>
      </w:r>
    </w:p>
    <w:p>
      <w:pPr>
        <w:pStyle w:val="3"/>
        <w:ind w:firstLine="480"/>
      </w:pPr>
      <w:r>
        <w:rPr>
          <w:rFonts w:hint="eastAsia"/>
        </w:rPr>
        <w:t>电子邮箱：</w:t>
      </w:r>
      <w:r>
        <w:t>lssthj8713019@126.com</w:t>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三、风险评估单位</w:t>
      </w:r>
    </w:p>
    <w:p>
      <w:pPr>
        <w:pStyle w:val="3"/>
        <w:ind w:firstLine="480"/>
      </w:pPr>
      <w:r>
        <w:rPr>
          <w:rFonts w:hint="eastAsia"/>
        </w:rPr>
        <w:t>单位名称：生态环境部华南环境科学研究所</w:t>
      </w:r>
    </w:p>
    <w:p>
      <w:pPr>
        <w:pStyle w:val="3"/>
        <w:ind w:firstLine="480"/>
      </w:pPr>
      <w:r>
        <w:rPr>
          <w:rFonts w:hint="eastAsia"/>
        </w:rPr>
        <w:t>单位地址：广州市黄埔区瑞和路1</w:t>
      </w:r>
      <w:r>
        <w:t>8</w:t>
      </w:r>
      <w:r>
        <w:rPr>
          <w:rFonts w:hint="eastAsia"/>
        </w:rPr>
        <w:t>号</w:t>
      </w:r>
    </w:p>
    <w:p>
      <w:pPr>
        <w:pStyle w:val="3"/>
        <w:ind w:firstLine="480"/>
      </w:pPr>
      <w:r>
        <w:rPr>
          <w:rFonts w:hint="eastAsia"/>
        </w:rPr>
        <w:t>联 系 人：林工</w:t>
      </w:r>
    </w:p>
    <w:p>
      <w:pPr>
        <w:pStyle w:val="3"/>
        <w:ind w:firstLine="480"/>
      </w:pPr>
      <w:r>
        <w:rPr>
          <w:rFonts w:hint="eastAsia"/>
        </w:rPr>
        <w:t>联系电话：1</w:t>
      </w:r>
      <w:r>
        <w:t>8922144686</w:t>
      </w:r>
    </w:p>
    <w:p>
      <w:pPr>
        <w:pStyle w:val="3"/>
        <w:ind w:firstLine="480"/>
      </w:pPr>
      <w:r>
        <w:rPr>
          <w:rFonts w:hint="eastAsia"/>
        </w:rPr>
        <w:t>电子邮箱：qy</w:t>
      </w:r>
      <w:r>
        <w:t>lssydhd</w:t>
      </w:r>
      <w:r>
        <w:fldChar w:fldCharType="begin"/>
      </w:r>
      <w:r>
        <w:instrText xml:space="preserve"> HYPERLINK "mailto:zdlusubi@163.com" </w:instrText>
      </w:r>
      <w:r>
        <w:fldChar w:fldCharType="separate"/>
      </w:r>
      <w:r>
        <w:rPr>
          <w:rStyle w:val="14"/>
          <w:rFonts w:hint="eastAsia"/>
        </w:rPr>
        <w:t>@163.com</w:t>
      </w:r>
      <w:r>
        <w:rPr>
          <w:rStyle w:val="14"/>
          <w:rFonts w:hint="eastAsia"/>
        </w:rPr>
        <w:fldChar w:fldCharType="end"/>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四、划分及调整方案摘要</w:t>
      </w:r>
    </w:p>
    <w:p>
      <w:pPr>
        <w:pStyle w:val="3"/>
        <w:ind w:firstLine="480"/>
      </w:pPr>
      <w:r>
        <w:rPr>
          <w:rFonts w:hint="eastAsia"/>
        </w:rPr>
        <w:t>按照《中华人民共和国水法》、《中华人民共和国水污染防治法》的要求，结合现场调查及水源评估工作情况，连山壮族瑶族自治县开展县级饮用水水源保护区调整与划分工作，提升依法管理水平，旨在持续加强水源保护，切实保障水质安全。本次拟划分和调整的对象为：拟新划定德建水库饮用水水源保护区；拟核销鸡爪冲、西牛塘及旭水水库</w:t>
      </w:r>
      <w:r>
        <w:t>3</w:t>
      </w:r>
      <w:r>
        <w:rPr>
          <w:rFonts w:hint="eastAsia"/>
        </w:rPr>
        <w:t>个饮用水水源保护区。</w:t>
      </w:r>
    </w:p>
    <w:p>
      <w:pPr>
        <w:pStyle w:val="3"/>
        <w:ind w:firstLine="480"/>
      </w:pPr>
      <w:r>
        <w:rPr>
          <w:rFonts w:hint="eastAsia"/>
        </w:rPr>
        <w:t>拟新划定的德建水库饮用水水源保护区位于连山壮族瑶族自治县福堂镇，</w:t>
      </w:r>
      <w:r>
        <w:t>取水口位于水库大坝附近，取水口坐标为E112°05′14.57″，N24°29′20.32″。</w:t>
      </w:r>
      <w:r>
        <w:rPr>
          <w:rFonts w:hint="eastAsia"/>
        </w:rPr>
        <w:t>一级保护区0.</w:t>
      </w:r>
      <w:r>
        <w:t>43</w:t>
      </w:r>
      <w:r>
        <w:rPr>
          <w:rFonts w:hint="eastAsia"/>
        </w:rPr>
        <w:t>km</w:t>
      </w:r>
      <w:r>
        <w:rPr>
          <w:rFonts w:hint="eastAsia"/>
          <w:vertAlign w:val="superscript"/>
        </w:rPr>
        <w:t>2</w:t>
      </w:r>
      <w:r>
        <w:rPr>
          <w:rFonts w:hint="eastAsia"/>
        </w:rPr>
        <w:t>，二级保护区</w:t>
      </w:r>
      <w:r>
        <w:t>6.83</w:t>
      </w:r>
      <w:r>
        <w:rPr>
          <w:rFonts w:hint="eastAsia"/>
        </w:rPr>
        <w:t>km</w:t>
      </w:r>
      <w:r>
        <w:rPr>
          <w:rFonts w:hint="eastAsia"/>
          <w:vertAlign w:val="superscript"/>
        </w:rPr>
        <w:t>2</w:t>
      </w:r>
      <w:r>
        <w:rPr>
          <w:rFonts w:hint="eastAsia"/>
        </w:rPr>
        <w:t>。</w:t>
      </w:r>
    </w:p>
    <w:p>
      <w:pPr>
        <w:pStyle w:val="3"/>
        <w:ind w:firstLine="480"/>
      </w:pPr>
      <w:r>
        <w:rPr>
          <w:rFonts w:hint="eastAsia"/>
        </w:rPr>
        <w:t>一级保护区：水域为以取水口为中心，半径为300m范围内的水域，陆域为一级水域保护区边界外扩200m的范围，但不超过分水岭。</w:t>
      </w:r>
    </w:p>
    <w:p>
      <w:pPr>
        <w:pStyle w:val="3"/>
        <w:ind w:firstLine="480"/>
      </w:pPr>
      <w:r>
        <w:rPr>
          <w:rFonts w:hint="eastAsia"/>
        </w:rPr>
        <w:t>二级保护区：水域除水库正常水位线以内除一级保护区外的水域，陆域为水库正常水位线（一级保护区以外）至相邻的第一重山脊线及入库河流上溯3000m的汇水区域。</w:t>
      </w:r>
    </w:p>
    <w:p>
      <w:pPr>
        <w:pStyle w:val="3"/>
        <w:ind w:firstLine="480"/>
      </w:pPr>
      <w:r>
        <w:rPr>
          <w:rFonts w:hint="eastAsia"/>
        </w:rPr>
        <w:t>不设准保护区。</w:t>
      </w:r>
    </w:p>
    <w:p>
      <w:pPr>
        <w:pStyle w:val="3"/>
        <w:ind w:firstLine="562"/>
        <w:rPr>
          <w:rStyle w:val="13"/>
          <w:rFonts w:ascii="黑体" w:hAnsi="黑体" w:eastAsia="黑体"/>
          <w:color w:val="000000"/>
          <w:sz w:val="28"/>
          <w:szCs w:val="28"/>
        </w:rPr>
      </w:pPr>
      <w:r>
        <w:rPr>
          <w:rStyle w:val="13"/>
          <w:rFonts w:ascii="黑体" w:hAnsi="黑体" w:eastAsia="黑体"/>
          <w:color w:val="000000"/>
          <w:sz w:val="28"/>
          <w:szCs w:val="28"/>
        </w:rPr>
        <w:t>五、评估初步确定</w:t>
      </w:r>
      <w:r>
        <w:rPr>
          <w:rStyle w:val="13"/>
          <w:rFonts w:hint="eastAsia" w:ascii="黑体" w:hAnsi="黑体" w:eastAsia="黑体"/>
          <w:color w:val="000000"/>
          <w:sz w:val="28"/>
          <w:szCs w:val="28"/>
        </w:rPr>
        <w:t>的主要社会稳定风险因素及防范化解措施</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26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04" w:type="dxa"/>
            <w:vAlign w:val="center"/>
          </w:tcPr>
          <w:p>
            <w:pPr>
              <w:pStyle w:val="19"/>
              <w:rPr>
                <w:b/>
                <w:bCs/>
              </w:rPr>
            </w:pPr>
            <w:r>
              <w:rPr>
                <w:rFonts w:hint="eastAsia"/>
                <w:b/>
                <w:bCs/>
              </w:rPr>
              <w:t>序号</w:t>
            </w:r>
          </w:p>
        </w:tc>
        <w:tc>
          <w:tcPr>
            <w:tcW w:w="1418" w:type="dxa"/>
            <w:vAlign w:val="center"/>
          </w:tcPr>
          <w:p>
            <w:pPr>
              <w:pStyle w:val="19"/>
              <w:rPr>
                <w:b/>
                <w:bCs/>
              </w:rPr>
            </w:pPr>
            <w:r>
              <w:rPr>
                <w:rFonts w:hint="eastAsia"/>
                <w:b/>
                <w:bCs/>
              </w:rPr>
              <w:t>发生阶段</w:t>
            </w:r>
          </w:p>
        </w:tc>
        <w:tc>
          <w:tcPr>
            <w:tcW w:w="2268" w:type="dxa"/>
            <w:vAlign w:val="center"/>
          </w:tcPr>
          <w:p>
            <w:pPr>
              <w:pStyle w:val="19"/>
              <w:rPr>
                <w:b/>
                <w:bCs/>
              </w:rPr>
            </w:pPr>
            <w:r>
              <w:rPr>
                <w:rFonts w:hint="eastAsia"/>
                <w:b/>
                <w:bCs/>
              </w:rPr>
              <w:t>风险因素</w:t>
            </w:r>
          </w:p>
        </w:tc>
        <w:tc>
          <w:tcPr>
            <w:tcW w:w="3906" w:type="dxa"/>
            <w:vAlign w:val="center"/>
          </w:tcPr>
          <w:p>
            <w:pPr>
              <w:pStyle w:val="19"/>
              <w:rPr>
                <w:b/>
                <w:bCs/>
              </w:rPr>
            </w:pPr>
            <w:r>
              <w:rPr>
                <w:rFonts w:hint="eastAsia"/>
                <w:b/>
                <w:bCs/>
              </w:rPr>
              <w:t>主要防范、化解措施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1</w:t>
            </w:r>
          </w:p>
        </w:tc>
        <w:tc>
          <w:tcPr>
            <w:tcW w:w="1418" w:type="dxa"/>
            <w:vAlign w:val="center"/>
          </w:tcPr>
          <w:p>
            <w:pPr>
              <w:pStyle w:val="19"/>
            </w:pPr>
            <w:r>
              <w:rPr>
                <w:rFonts w:hint="eastAsia"/>
              </w:rPr>
              <w:t>决策准备</w:t>
            </w:r>
          </w:p>
        </w:tc>
        <w:tc>
          <w:tcPr>
            <w:tcW w:w="2268" w:type="dxa"/>
            <w:vAlign w:val="center"/>
          </w:tcPr>
          <w:p>
            <w:pPr>
              <w:pStyle w:val="19"/>
            </w:pPr>
            <w:r>
              <w:rPr>
                <w:rFonts w:hint="eastAsia"/>
              </w:rPr>
              <w:t>政策方案制定、审批程序</w:t>
            </w:r>
          </w:p>
        </w:tc>
        <w:tc>
          <w:tcPr>
            <w:tcW w:w="3906" w:type="dxa"/>
            <w:vAlign w:val="center"/>
          </w:tcPr>
          <w:p>
            <w:pPr>
              <w:pStyle w:val="19"/>
              <w:jc w:val="left"/>
            </w:pPr>
            <w:r>
              <w:rPr>
                <w:rFonts w:hint="eastAsia"/>
              </w:rPr>
              <w:t>方案制定、审批程序各阶段严格执行国家法律法规和有关政策规定及标准，坚持严格的审查审批和报批程序。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2</w:t>
            </w:r>
          </w:p>
        </w:tc>
        <w:tc>
          <w:tcPr>
            <w:tcW w:w="1418" w:type="dxa"/>
            <w:vAlign w:val="center"/>
          </w:tcPr>
          <w:p>
            <w:pPr>
              <w:pStyle w:val="19"/>
            </w:pPr>
            <w:r>
              <w:rPr>
                <w:rFonts w:hint="eastAsia"/>
              </w:rPr>
              <w:t>准备实施</w:t>
            </w:r>
          </w:p>
        </w:tc>
        <w:tc>
          <w:tcPr>
            <w:tcW w:w="2268" w:type="dxa"/>
            <w:vAlign w:val="center"/>
          </w:tcPr>
          <w:p>
            <w:pPr>
              <w:pStyle w:val="19"/>
            </w:pPr>
            <w:r>
              <w:rPr>
                <w:rFonts w:hint="eastAsia"/>
              </w:rPr>
              <w:t>整治及补偿</w:t>
            </w:r>
          </w:p>
        </w:tc>
        <w:tc>
          <w:tcPr>
            <w:tcW w:w="3906" w:type="dxa"/>
            <w:vAlign w:val="center"/>
          </w:tcPr>
          <w:p>
            <w:pPr>
              <w:pStyle w:val="19"/>
              <w:jc w:val="left"/>
            </w:pPr>
            <w:r>
              <w:rPr>
                <w:rFonts w:hint="eastAsia"/>
              </w:rPr>
              <w:t>本水源保护区划分及调整方案涉及相关设施整治补偿、经济林退出等严格按照国家及地方相关要求制定补偿方案。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3</w:t>
            </w:r>
          </w:p>
        </w:tc>
        <w:tc>
          <w:tcPr>
            <w:tcW w:w="1418" w:type="dxa"/>
            <w:vAlign w:val="center"/>
          </w:tcPr>
          <w:p>
            <w:pPr>
              <w:pStyle w:val="19"/>
            </w:pPr>
            <w:r>
              <w:rPr>
                <w:rFonts w:hint="eastAsia"/>
              </w:rPr>
              <w:t>准备实施阶段</w:t>
            </w:r>
          </w:p>
        </w:tc>
        <w:tc>
          <w:tcPr>
            <w:tcW w:w="2268" w:type="dxa"/>
            <w:vAlign w:val="center"/>
          </w:tcPr>
          <w:p>
            <w:pPr>
              <w:pStyle w:val="19"/>
            </w:pPr>
            <w:r>
              <w:rPr>
                <w:rFonts w:hint="eastAsia"/>
              </w:rPr>
              <w:t>资金筹措和保障</w:t>
            </w:r>
          </w:p>
        </w:tc>
        <w:tc>
          <w:tcPr>
            <w:tcW w:w="3906" w:type="dxa"/>
            <w:vAlign w:val="center"/>
          </w:tcPr>
          <w:p>
            <w:pPr>
              <w:pStyle w:val="19"/>
              <w:jc w:val="left"/>
            </w:pPr>
            <w:r>
              <w:rPr>
                <w:rFonts w:hint="eastAsia"/>
              </w:rPr>
              <w:t>对资金到位情况、资金支出控制等进行实时监控，控制投资风险。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4</w:t>
            </w:r>
          </w:p>
        </w:tc>
        <w:tc>
          <w:tcPr>
            <w:tcW w:w="1418" w:type="dxa"/>
            <w:vAlign w:val="center"/>
          </w:tcPr>
          <w:p>
            <w:pPr>
              <w:pStyle w:val="19"/>
            </w:pPr>
            <w:r>
              <w:rPr>
                <w:rFonts w:hint="eastAsia"/>
              </w:rPr>
              <w:t>实施阶段</w:t>
            </w:r>
          </w:p>
        </w:tc>
        <w:tc>
          <w:tcPr>
            <w:tcW w:w="2268" w:type="dxa"/>
            <w:vAlign w:val="center"/>
          </w:tcPr>
          <w:p>
            <w:pPr>
              <w:pStyle w:val="19"/>
            </w:pPr>
            <w:r>
              <w:rPr>
                <w:rFonts w:hint="eastAsia"/>
              </w:rPr>
              <w:t>文明施工和质量管理</w:t>
            </w:r>
          </w:p>
        </w:tc>
        <w:tc>
          <w:tcPr>
            <w:tcW w:w="3906" w:type="dxa"/>
            <w:vAlign w:val="center"/>
          </w:tcPr>
          <w:p>
            <w:pPr>
              <w:pStyle w:val="19"/>
              <w:jc w:val="left"/>
            </w:pPr>
            <w:r>
              <w:rPr>
                <w:rFonts w:hint="eastAsia"/>
              </w:rPr>
              <w:t>需整治的相关设施在整治过程中严格执行文明施工制度。开展安全教育培训，树立安全第一的思想，明确安全责任。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5</w:t>
            </w:r>
          </w:p>
        </w:tc>
        <w:tc>
          <w:tcPr>
            <w:tcW w:w="1418" w:type="dxa"/>
            <w:vAlign w:val="center"/>
          </w:tcPr>
          <w:p>
            <w:pPr>
              <w:pStyle w:val="19"/>
            </w:pPr>
            <w:r>
              <w:rPr>
                <w:rFonts w:hint="eastAsia"/>
              </w:rPr>
              <w:t>实施阶段</w:t>
            </w:r>
          </w:p>
        </w:tc>
        <w:tc>
          <w:tcPr>
            <w:tcW w:w="2268" w:type="dxa"/>
            <w:vAlign w:val="center"/>
          </w:tcPr>
          <w:p>
            <w:pPr>
              <w:pStyle w:val="19"/>
            </w:pPr>
            <w:r>
              <w:rPr>
                <w:rFonts w:hint="eastAsia"/>
              </w:rPr>
              <w:t>社会稳定风险管理体系</w:t>
            </w:r>
          </w:p>
        </w:tc>
        <w:tc>
          <w:tcPr>
            <w:tcW w:w="3906" w:type="dxa"/>
            <w:vAlign w:val="center"/>
          </w:tcPr>
          <w:p>
            <w:pPr>
              <w:pStyle w:val="19"/>
              <w:jc w:val="left"/>
            </w:pPr>
            <w:r>
              <w:rPr>
                <w:rFonts w:hint="eastAsia"/>
              </w:rPr>
              <w:t>建立社会稳定风险管理责任制，联动机制及制定相应的应急处置预案。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6</w:t>
            </w:r>
          </w:p>
        </w:tc>
        <w:tc>
          <w:tcPr>
            <w:tcW w:w="1418" w:type="dxa"/>
            <w:vAlign w:val="center"/>
          </w:tcPr>
          <w:p>
            <w:pPr>
              <w:pStyle w:val="19"/>
            </w:pPr>
            <w:r>
              <w:rPr>
                <w:rFonts w:hint="eastAsia"/>
              </w:rPr>
              <w:t>实施阶段</w:t>
            </w:r>
          </w:p>
        </w:tc>
        <w:tc>
          <w:tcPr>
            <w:tcW w:w="2268" w:type="dxa"/>
            <w:vAlign w:val="center"/>
          </w:tcPr>
          <w:p>
            <w:pPr>
              <w:pStyle w:val="19"/>
            </w:pPr>
            <w:r>
              <w:rPr>
                <w:rFonts w:hint="eastAsia"/>
              </w:rPr>
              <w:t>经济利益影响</w:t>
            </w:r>
          </w:p>
        </w:tc>
        <w:tc>
          <w:tcPr>
            <w:tcW w:w="3906" w:type="dxa"/>
            <w:vAlign w:val="center"/>
          </w:tcPr>
          <w:p>
            <w:pPr>
              <w:pStyle w:val="19"/>
              <w:jc w:val="left"/>
            </w:pPr>
            <w:r>
              <w:rPr>
                <w:rFonts w:hint="eastAsia"/>
              </w:rPr>
              <w:t>建议主管单位及有关部门制订有关的经济补助措施，并贯彻落实；引导保护区范围内小、散企业有序退出；完善农村农业生产技术培训体系，禁止使用剧毒和高残留农药等化学制品，促进保护区范围内农业产业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7</w:t>
            </w:r>
          </w:p>
        </w:tc>
        <w:tc>
          <w:tcPr>
            <w:tcW w:w="1418" w:type="dxa"/>
            <w:vAlign w:val="center"/>
          </w:tcPr>
          <w:p>
            <w:pPr>
              <w:pStyle w:val="19"/>
            </w:pPr>
            <w:r>
              <w:rPr>
                <w:rFonts w:hint="eastAsia"/>
              </w:rPr>
              <w:t>实施阶段</w:t>
            </w:r>
          </w:p>
        </w:tc>
        <w:tc>
          <w:tcPr>
            <w:tcW w:w="2268" w:type="dxa"/>
            <w:vAlign w:val="center"/>
          </w:tcPr>
          <w:p>
            <w:pPr>
              <w:pStyle w:val="19"/>
            </w:pPr>
            <w:r>
              <w:rPr>
                <w:rFonts w:hint="eastAsia"/>
              </w:rPr>
              <w:t>社会治安及安全影响</w:t>
            </w:r>
          </w:p>
        </w:tc>
        <w:tc>
          <w:tcPr>
            <w:tcW w:w="3906" w:type="dxa"/>
            <w:vAlign w:val="center"/>
          </w:tcPr>
          <w:p>
            <w:pPr>
              <w:pStyle w:val="19"/>
              <w:jc w:val="left"/>
            </w:pPr>
            <w:r>
              <w:rPr>
                <w:rFonts w:hint="eastAsia"/>
              </w:rPr>
              <w:t>强化组织领导，坚持打、防、管、服务四管齐下。在加强执行人员的教育培训的同时，提高执行人员的综合素质。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8</w:t>
            </w:r>
          </w:p>
        </w:tc>
        <w:tc>
          <w:tcPr>
            <w:tcW w:w="1418" w:type="dxa"/>
            <w:vAlign w:val="center"/>
          </w:tcPr>
          <w:p>
            <w:pPr>
              <w:pStyle w:val="19"/>
            </w:pPr>
            <w:r>
              <w:rPr>
                <w:rFonts w:hint="eastAsia"/>
              </w:rPr>
              <w:t>全过程</w:t>
            </w:r>
          </w:p>
        </w:tc>
        <w:tc>
          <w:tcPr>
            <w:tcW w:w="2268" w:type="dxa"/>
            <w:vAlign w:val="center"/>
          </w:tcPr>
          <w:p>
            <w:pPr>
              <w:pStyle w:val="19"/>
            </w:pPr>
            <w:r>
              <w:rPr>
                <w:rFonts w:hint="eastAsia"/>
              </w:rPr>
              <w:t>群众异议和诉求的影响</w:t>
            </w:r>
          </w:p>
        </w:tc>
        <w:tc>
          <w:tcPr>
            <w:tcW w:w="3906" w:type="dxa"/>
            <w:vAlign w:val="center"/>
          </w:tcPr>
          <w:p>
            <w:pPr>
              <w:pStyle w:val="19"/>
              <w:jc w:val="left"/>
            </w:pPr>
            <w:r>
              <w:rPr>
                <w:rFonts w:hint="eastAsia"/>
              </w:rPr>
              <w:t>建立社会稳定风险管理责任制、联动机制及制定相应的应急处置预案。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pStyle w:val="19"/>
            </w:pPr>
            <w:r>
              <w:rPr>
                <w:rFonts w:hint="eastAsia"/>
              </w:rPr>
              <w:t>9</w:t>
            </w:r>
          </w:p>
        </w:tc>
        <w:tc>
          <w:tcPr>
            <w:tcW w:w="1418" w:type="dxa"/>
            <w:vAlign w:val="center"/>
          </w:tcPr>
          <w:p>
            <w:pPr>
              <w:pStyle w:val="19"/>
            </w:pPr>
            <w:r>
              <w:rPr>
                <w:rFonts w:hint="eastAsia"/>
              </w:rPr>
              <w:t>全过程</w:t>
            </w:r>
          </w:p>
        </w:tc>
        <w:tc>
          <w:tcPr>
            <w:tcW w:w="2268" w:type="dxa"/>
            <w:vAlign w:val="center"/>
          </w:tcPr>
          <w:p>
            <w:pPr>
              <w:pStyle w:val="19"/>
            </w:pPr>
            <w:r>
              <w:rPr>
                <w:rFonts w:hint="eastAsia"/>
              </w:rPr>
              <w:t>媒体舆论导向及影响</w:t>
            </w:r>
          </w:p>
        </w:tc>
        <w:tc>
          <w:tcPr>
            <w:tcW w:w="3906" w:type="dxa"/>
            <w:vAlign w:val="center"/>
          </w:tcPr>
          <w:p>
            <w:pPr>
              <w:pStyle w:val="19"/>
              <w:jc w:val="left"/>
            </w:pPr>
            <w:r>
              <w:rPr>
                <w:rFonts w:hint="eastAsia"/>
              </w:rPr>
              <w:t>1.在实施过程中加强与村民、政府的沟通协调，在事前大家取得一致意见。</w:t>
            </w:r>
          </w:p>
          <w:p>
            <w:pPr>
              <w:pStyle w:val="19"/>
              <w:jc w:val="left"/>
            </w:pPr>
            <w:r>
              <w:rPr>
                <w:rFonts w:hint="eastAsia"/>
              </w:rPr>
              <w:t>2.依据法律、政策进行充分合理解释、有力论证和详细说明,并取得大部分群众的理解和支持。</w:t>
            </w:r>
          </w:p>
        </w:tc>
      </w:tr>
    </w:tbl>
    <w:p>
      <w:pPr>
        <w:pStyle w:val="3"/>
        <w:ind w:firstLine="0" w:firstLineChars="0"/>
        <w:rPr>
          <w:b/>
          <w:bCs/>
        </w:rPr>
      </w:pP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六、征求公众意见的范围和主要事项</w:t>
      </w:r>
    </w:p>
    <w:p>
      <w:pPr>
        <w:pStyle w:val="3"/>
        <w:ind w:firstLine="480"/>
      </w:pPr>
      <w:r>
        <w:rPr>
          <w:rFonts w:hint="eastAsia"/>
        </w:rPr>
        <w:t>1.征求公众意见范围：公示对象为拟受水源保护区划分及调整方案影响的公民、法人和其他社会组织。</w:t>
      </w:r>
    </w:p>
    <w:p>
      <w:pPr>
        <w:pStyle w:val="3"/>
        <w:ind w:firstLine="480"/>
      </w:pPr>
      <w:r>
        <w:rPr>
          <w:rFonts w:hint="eastAsia"/>
        </w:rPr>
        <w:t>2.征求公众意见的主要内容：水源保护区划分及调整方案有哪些社会稳定风险因素，是否影响公众利益（包括经济利益、环境利益、人身健康利益等），对本划分及调整方案有何诉求，以及防范社会稳定风险的合理可行的措施和建议。</w:t>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七、征询意见具体形式</w:t>
      </w:r>
    </w:p>
    <w:p>
      <w:pPr>
        <w:pStyle w:val="3"/>
        <w:ind w:firstLine="480"/>
      </w:pPr>
      <w:r>
        <w:rPr>
          <w:rFonts w:hint="eastAsia"/>
        </w:rPr>
        <w:t>公示期间，公众可通过书面意见、电话（请在上班时间拨打，上午8：30-12:00，下午14：30-17：00）、电子邮件等方式与实施单位或风险评估单位联系，表达对方案实施社会稳定风险的意见和建议。</w:t>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八、公示时间</w:t>
      </w:r>
    </w:p>
    <w:p>
      <w:pPr>
        <w:pStyle w:val="3"/>
        <w:ind w:firstLine="480"/>
        <w:rPr>
          <w:rStyle w:val="13"/>
          <w:b w:val="0"/>
          <w:bCs w:val="0"/>
        </w:rPr>
      </w:pPr>
      <w:r>
        <w:rPr>
          <w:rStyle w:val="13"/>
          <w:rFonts w:hint="eastAsia"/>
          <w:b w:val="0"/>
          <w:bCs w:val="0"/>
        </w:rPr>
        <w:t>2022年</w:t>
      </w:r>
      <w:r>
        <w:rPr>
          <w:rStyle w:val="13"/>
          <w:b w:val="0"/>
          <w:bCs w:val="0"/>
        </w:rPr>
        <w:t>11</w:t>
      </w:r>
      <w:r>
        <w:rPr>
          <w:rStyle w:val="13"/>
          <w:rFonts w:hint="eastAsia"/>
          <w:b w:val="0"/>
          <w:bCs w:val="0"/>
        </w:rPr>
        <w:t>月</w:t>
      </w:r>
      <w:r>
        <w:rPr>
          <w:rStyle w:val="13"/>
          <w:rFonts w:hint="eastAsia"/>
          <w:b w:val="0"/>
          <w:bCs w:val="0"/>
          <w:lang w:val="en-US" w:eastAsia="zh-CN"/>
        </w:rPr>
        <w:t>9</w:t>
      </w:r>
      <w:r>
        <w:rPr>
          <w:rStyle w:val="13"/>
          <w:rFonts w:hint="eastAsia"/>
          <w:b w:val="0"/>
          <w:bCs w:val="0"/>
        </w:rPr>
        <w:t>日至2022年</w:t>
      </w:r>
      <w:r>
        <w:rPr>
          <w:rStyle w:val="13"/>
          <w:b w:val="0"/>
          <w:bCs w:val="0"/>
        </w:rPr>
        <w:t>11</w:t>
      </w:r>
      <w:r>
        <w:rPr>
          <w:rStyle w:val="13"/>
          <w:rFonts w:hint="eastAsia"/>
          <w:b w:val="0"/>
          <w:bCs w:val="0"/>
        </w:rPr>
        <w:t>月</w:t>
      </w:r>
      <w:r>
        <w:rPr>
          <w:rStyle w:val="13"/>
          <w:b w:val="0"/>
          <w:bCs w:val="0"/>
        </w:rPr>
        <w:t>1</w:t>
      </w:r>
      <w:r>
        <w:rPr>
          <w:rStyle w:val="13"/>
          <w:rFonts w:hint="eastAsia"/>
          <w:b w:val="0"/>
          <w:bCs w:val="0"/>
          <w:lang w:val="en-US" w:eastAsia="zh-CN"/>
        </w:rPr>
        <w:t>8</w:t>
      </w:r>
      <w:r>
        <w:rPr>
          <w:rStyle w:val="13"/>
          <w:rFonts w:hint="eastAsia"/>
          <w:b w:val="0"/>
          <w:bCs w:val="0"/>
        </w:rPr>
        <w:t>日，共十天。</w:t>
      </w:r>
    </w:p>
    <w:p>
      <w:pPr>
        <w:pStyle w:val="3"/>
        <w:ind w:firstLine="562"/>
        <w:rPr>
          <w:rStyle w:val="13"/>
          <w:rFonts w:ascii="黑体" w:hAnsi="黑体" w:eastAsia="黑体"/>
          <w:color w:val="000000"/>
          <w:sz w:val="28"/>
          <w:szCs w:val="28"/>
        </w:rPr>
      </w:pPr>
      <w:r>
        <w:rPr>
          <w:rStyle w:val="13"/>
          <w:rFonts w:hint="eastAsia" w:ascii="黑体" w:hAnsi="黑体" w:eastAsia="黑体"/>
          <w:color w:val="000000"/>
          <w:sz w:val="28"/>
          <w:szCs w:val="28"/>
        </w:rPr>
        <w:t>九、公示说明</w:t>
      </w:r>
    </w:p>
    <w:p>
      <w:pPr>
        <w:pStyle w:val="3"/>
        <w:ind w:firstLine="480"/>
      </w:pPr>
      <w:r>
        <w:t>1.</w:t>
      </w:r>
      <w:r>
        <w:rPr>
          <w:rFonts w:hint="eastAsia"/>
        </w:rPr>
        <w:t>公众意见可通过信函、电子邮件、电话等形式与实施单位或社会稳定风险评估单位联系。</w:t>
      </w:r>
    </w:p>
    <w:p>
      <w:pPr>
        <w:pStyle w:val="3"/>
        <w:ind w:firstLine="480"/>
      </w:pPr>
      <w:r>
        <w:rPr>
          <w:rFonts w:hint="eastAsia"/>
        </w:rPr>
        <w:t>2</w:t>
      </w:r>
      <w:r>
        <w:t>.</w:t>
      </w:r>
      <w:r>
        <w:rPr>
          <w:rFonts w:hint="eastAsia"/>
        </w:rPr>
        <w:t>自公示之日起十日内，实施单位或受委托的社会稳定风险评估单位为公众提供相关资料查询、查阅服务。</w:t>
      </w:r>
    </w:p>
    <w:p>
      <w:pPr>
        <w:pStyle w:val="3"/>
        <w:ind w:firstLine="480"/>
      </w:pPr>
      <w:r>
        <w:t>3.</w:t>
      </w:r>
      <w:r>
        <w:rPr>
          <w:rFonts w:hint="eastAsia"/>
        </w:rPr>
        <w:t>公众对水源保护区划分及调整方案如有社会稳定风险的建议或意见，可自公示之日起十日内向实施单位或社会稳定风险评估单位提出。</w:t>
      </w:r>
    </w:p>
    <w:p>
      <w:pPr>
        <w:pStyle w:val="3"/>
        <w:ind w:firstLine="480"/>
      </w:pPr>
      <w:r>
        <w:rPr>
          <w:rFonts w:hint="eastAsia"/>
        </w:rPr>
        <w:t>附件：连山壮族瑶族自治县县级饮用水水源保护区划分及调整方案</w:t>
      </w:r>
    </w:p>
    <w:p>
      <w:pPr>
        <w:pStyle w:val="3"/>
        <w:ind w:firstLine="480"/>
      </w:pPr>
    </w:p>
    <w:p>
      <w:pPr>
        <w:pStyle w:val="3"/>
        <w:ind w:firstLine="480"/>
        <w:jc w:val="right"/>
      </w:pPr>
      <w:r>
        <w:rPr>
          <w:rFonts w:hint="eastAsia"/>
        </w:rPr>
        <w:t>清远市生态环境局连山分局</w:t>
      </w:r>
    </w:p>
    <w:p>
      <w:pPr>
        <w:pStyle w:val="3"/>
        <w:ind w:right="240" w:firstLine="480"/>
        <w:jc w:val="right"/>
      </w:pPr>
      <w:r>
        <w:rPr>
          <w:rFonts w:hint="eastAsia"/>
        </w:rPr>
        <w:t>2</w:t>
      </w:r>
      <w:r>
        <w:t>022</w:t>
      </w:r>
      <w:r>
        <w:rPr>
          <w:rFonts w:hint="eastAsia"/>
        </w:rPr>
        <w:t>年</w:t>
      </w:r>
      <w:r>
        <w:t>11</w:t>
      </w:r>
      <w:r>
        <w:rPr>
          <w:rFonts w:hint="eastAsia"/>
        </w:rPr>
        <w:t>年</w:t>
      </w:r>
      <w:r>
        <w:t>8</w:t>
      </w:r>
      <w:r>
        <w:rPr>
          <w:rFonts w:hint="eastAsia"/>
        </w:rPr>
        <w:t>日</w:t>
      </w:r>
    </w:p>
    <w:p>
      <w:pPr>
        <w:jc w:val="center"/>
        <w:rPr>
          <w:b/>
          <w:bCs/>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32"/>
    <w:rsid w:val="000A2F8C"/>
    <w:rsid w:val="001565B1"/>
    <w:rsid w:val="002A0700"/>
    <w:rsid w:val="002F28F5"/>
    <w:rsid w:val="00334EE9"/>
    <w:rsid w:val="003C7BD6"/>
    <w:rsid w:val="0042514D"/>
    <w:rsid w:val="00510A9E"/>
    <w:rsid w:val="005A7DEF"/>
    <w:rsid w:val="005F697F"/>
    <w:rsid w:val="00620EF5"/>
    <w:rsid w:val="008114DB"/>
    <w:rsid w:val="008951A5"/>
    <w:rsid w:val="00B162E3"/>
    <w:rsid w:val="00BF5F32"/>
    <w:rsid w:val="00C417BA"/>
    <w:rsid w:val="00C92C22"/>
    <w:rsid w:val="00D657CC"/>
    <w:rsid w:val="00EC075B"/>
    <w:rsid w:val="23AC3764"/>
    <w:rsid w:val="3A2D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22"/>
    <w:qFormat/>
    <w:uiPriority w:val="0"/>
    <w:pPr>
      <w:spacing w:before="50" w:beforeLines="50" w:after="50" w:afterLines="50" w:line="360" w:lineRule="auto"/>
      <w:jc w:val="center"/>
      <w:outlineLvl w:val="0"/>
    </w:pPr>
    <w:rPr>
      <w:rFonts w:ascii="Calibri" w:hAnsi="Calibri" w:eastAsia="宋体" w:cs="Times New Roman"/>
      <w:b/>
      <w:kern w:val="2"/>
      <w:sz w:val="36"/>
      <w:szCs w:val="28"/>
      <w:lang w:val="en-US" w:eastAsia="zh-CN" w:bidi="ar-SA"/>
    </w:rPr>
  </w:style>
  <w:style w:type="paragraph" w:styleId="4">
    <w:name w:val="heading 2"/>
    <w:next w:val="3"/>
    <w:link w:val="23"/>
    <w:qFormat/>
    <w:uiPriority w:val="0"/>
    <w:pPr>
      <w:spacing w:line="360" w:lineRule="auto"/>
      <w:outlineLvl w:val="1"/>
    </w:pPr>
    <w:rPr>
      <w:rFonts w:ascii="Times New Roman" w:hAnsi="Times New Roman" w:eastAsia="宋体" w:cs="Times New Roman"/>
      <w:b/>
      <w:kern w:val="2"/>
      <w:sz w:val="30"/>
      <w:szCs w:val="28"/>
      <w:lang w:val="en-US" w:eastAsia="zh-CN" w:bidi="ar-SA"/>
    </w:rPr>
  </w:style>
  <w:style w:type="paragraph" w:styleId="5">
    <w:name w:val="heading 3"/>
    <w:next w:val="3"/>
    <w:link w:val="24"/>
    <w:qFormat/>
    <w:uiPriority w:val="0"/>
    <w:pPr>
      <w:spacing w:line="360" w:lineRule="auto"/>
      <w:outlineLvl w:val="2"/>
    </w:pPr>
    <w:rPr>
      <w:rFonts w:ascii="Times New Roman" w:hAnsi="Times New Roman" w:eastAsia="宋体" w:cs="Times New Roman"/>
      <w:b/>
      <w:kern w:val="2"/>
      <w:sz w:val="28"/>
      <w:szCs w:val="28"/>
      <w:lang w:val="en-US" w:eastAsia="zh-CN" w:bidi="ar-SA"/>
    </w:rPr>
  </w:style>
  <w:style w:type="paragraph" w:styleId="6">
    <w:name w:val="heading 4"/>
    <w:next w:val="3"/>
    <w:link w:val="25"/>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3">
    <w:name w:val="报告正文"/>
    <w:link w:val="15"/>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7">
    <w:name w:val="footer"/>
    <w:basedOn w:val="1"/>
    <w:link w:val="27"/>
    <w:unhideWhenUsed/>
    <w:uiPriority w:val="99"/>
    <w:pPr>
      <w:tabs>
        <w:tab w:val="center" w:pos="4153"/>
        <w:tab w:val="right" w:pos="8306"/>
      </w:tabs>
      <w:snapToGrid w:val="0"/>
      <w:jc w:val="left"/>
    </w:pPr>
    <w:rPr>
      <w:sz w:val="18"/>
      <w:szCs w:val="18"/>
    </w:rPr>
  </w:style>
  <w:style w:type="paragraph" w:styleId="8">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22"/>
    <w:rPr>
      <w:b/>
      <w:bCs/>
    </w:rPr>
  </w:style>
  <w:style w:type="character" w:styleId="14">
    <w:name w:val="Hyperlink"/>
    <w:basedOn w:val="12"/>
    <w:unhideWhenUsed/>
    <w:uiPriority w:val="99"/>
    <w:rPr>
      <w:color w:val="0563C1" w:themeColor="hyperlink"/>
      <w:u w:val="single"/>
      <w14:textFill>
        <w14:solidFill>
          <w14:schemeClr w14:val="hlink"/>
        </w14:solidFill>
      </w14:textFill>
    </w:rPr>
  </w:style>
  <w:style w:type="character" w:customStyle="1" w:styleId="15">
    <w:name w:val="报告正文 Char"/>
    <w:link w:val="3"/>
    <w:qFormat/>
    <w:uiPriority w:val="0"/>
    <w:rPr>
      <w:rFonts w:ascii="Times New Roman" w:hAnsi="Times New Roman" w:eastAsia="宋体" w:cs="Times New Roman"/>
      <w:sz w:val="24"/>
      <w:szCs w:val="24"/>
    </w:rPr>
  </w:style>
  <w:style w:type="paragraph" w:customStyle="1" w:styleId="16">
    <w:name w:val="表格备注"/>
    <w:next w:val="1"/>
    <w:qFormat/>
    <w:uiPriority w:val="0"/>
    <w:rPr>
      <w:rFonts w:ascii="Times New Roman" w:hAnsi="Times New Roman" w:eastAsia="宋体" w:cs="Times New Roman"/>
      <w:kern w:val="2"/>
      <w:sz w:val="21"/>
      <w:szCs w:val="24"/>
      <w:lang w:val="en-US" w:eastAsia="zh-CN" w:bidi="ar-SA"/>
    </w:rPr>
  </w:style>
  <w:style w:type="paragraph" w:customStyle="1" w:styleId="17">
    <w:name w:val="表格标题"/>
    <w:basedOn w:val="1"/>
    <w:link w:val="18"/>
    <w:qFormat/>
    <w:uiPriority w:val="0"/>
    <w:pPr>
      <w:widowControl/>
      <w:jc w:val="center"/>
    </w:pPr>
    <w:rPr>
      <w:rFonts w:ascii="Times New Roman" w:hAnsi="Times New Roman" w:eastAsia="宋体" w:cs="Times New Roman"/>
      <w:b/>
      <w:kern w:val="0"/>
      <w:sz w:val="24"/>
      <w:szCs w:val="20"/>
    </w:rPr>
  </w:style>
  <w:style w:type="character" w:customStyle="1" w:styleId="18">
    <w:name w:val="表格标题 Char"/>
    <w:link w:val="17"/>
    <w:qFormat/>
    <w:uiPriority w:val="0"/>
    <w:rPr>
      <w:rFonts w:ascii="Times New Roman" w:hAnsi="Times New Roman" w:eastAsia="宋体" w:cs="Times New Roman"/>
      <w:b/>
      <w:kern w:val="0"/>
      <w:sz w:val="24"/>
      <w:szCs w:val="20"/>
    </w:rPr>
  </w:style>
  <w:style w:type="paragraph" w:customStyle="1" w:styleId="19">
    <w:name w:val="表格内容"/>
    <w:next w:val="1"/>
    <w:link w:val="20"/>
    <w:qFormat/>
    <w:uiPriority w:val="0"/>
    <w:pPr>
      <w:jc w:val="center"/>
    </w:pPr>
    <w:rPr>
      <w:rFonts w:ascii="Times New Roman" w:hAnsi="Times New Roman" w:eastAsia="宋体" w:cs="Times New Roman"/>
      <w:kern w:val="2"/>
      <w:position w:val="-3"/>
      <w:sz w:val="21"/>
      <w:szCs w:val="21"/>
      <w:lang w:val="en-US" w:eastAsia="zh-CN" w:bidi="ar-SA"/>
    </w:rPr>
  </w:style>
  <w:style w:type="character" w:customStyle="1" w:styleId="20">
    <w:name w:val="表格内容 Char"/>
    <w:link w:val="19"/>
    <w:qFormat/>
    <w:uiPriority w:val="0"/>
    <w:rPr>
      <w:rFonts w:ascii="Times New Roman" w:hAnsi="Times New Roman" w:eastAsia="宋体" w:cs="Times New Roman"/>
      <w:position w:val="-3"/>
      <w:szCs w:val="21"/>
    </w:rPr>
  </w:style>
  <w:style w:type="paragraph" w:customStyle="1" w:styleId="21">
    <w:name w:val="样式1"/>
    <w:basedOn w:val="3"/>
    <w:next w:val="3"/>
    <w:qFormat/>
    <w:uiPriority w:val="0"/>
    <w:pPr>
      <w:ind w:firstLine="480"/>
    </w:pPr>
  </w:style>
  <w:style w:type="character" w:customStyle="1" w:styleId="22">
    <w:name w:val="标题 1 字符"/>
    <w:link w:val="2"/>
    <w:uiPriority w:val="0"/>
    <w:rPr>
      <w:rFonts w:ascii="Calibri" w:hAnsi="Calibri" w:eastAsia="宋体" w:cs="Times New Roman"/>
      <w:b/>
      <w:sz w:val="36"/>
      <w:szCs w:val="28"/>
    </w:rPr>
  </w:style>
  <w:style w:type="character" w:customStyle="1" w:styleId="23">
    <w:name w:val="标题 2 字符"/>
    <w:link w:val="4"/>
    <w:uiPriority w:val="0"/>
    <w:rPr>
      <w:rFonts w:ascii="Times New Roman" w:hAnsi="Times New Roman" w:eastAsia="宋体" w:cs="Times New Roman"/>
      <w:b/>
      <w:sz w:val="30"/>
      <w:szCs w:val="28"/>
    </w:rPr>
  </w:style>
  <w:style w:type="character" w:customStyle="1" w:styleId="24">
    <w:name w:val="标题 3 字符"/>
    <w:link w:val="5"/>
    <w:uiPriority w:val="0"/>
    <w:rPr>
      <w:rFonts w:ascii="Times New Roman" w:hAnsi="Times New Roman" w:eastAsia="宋体" w:cs="Times New Roman"/>
      <w:b/>
      <w:sz w:val="28"/>
      <w:szCs w:val="28"/>
    </w:rPr>
  </w:style>
  <w:style w:type="character" w:customStyle="1" w:styleId="25">
    <w:name w:val="标题 4 字符"/>
    <w:link w:val="6"/>
    <w:qFormat/>
    <w:uiPriority w:val="0"/>
    <w:rPr>
      <w:rFonts w:ascii="Times New Roman" w:hAnsi="Times New Roman" w:eastAsia="宋体" w:cs="Times New Roman"/>
      <w:b/>
      <w:sz w:val="24"/>
      <w:szCs w:val="24"/>
    </w:rPr>
  </w:style>
  <w:style w:type="character" w:customStyle="1" w:styleId="26">
    <w:name w:val="页眉 字符"/>
    <w:basedOn w:val="12"/>
    <w:link w:val="8"/>
    <w:uiPriority w:val="99"/>
    <w:rPr>
      <w:sz w:val="18"/>
      <w:szCs w:val="18"/>
    </w:rPr>
  </w:style>
  <w:style w:type="character" w:customStyle="1" w:styleId="27">
    <w:name w:val="页脚 字符"/>
    <w:basedOn w:val="12"/>
    <w:link w:val="7"/>
    <w:uiPriority w:val="99"/>
    <w:rPr>
      <w:sz w:val="18"/>
      <w:szCs w:val="18"/>
    </w:rPr>
  </w:style>
  <w:style w:type="character" w:customStyle="1" w:styleId="2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1893</Characters>
  <Lines>15</Lines>
  <Paragraphs>4</Paragraphs>
  <TotalTime>108</TotalTime>
  <ScaleCrop>false</ScaleCrop>
  <LinksUpToDate>false</LinksUpToDate>
  <CharactersWithSpaces>2221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2022-10-28T02:04:00Z</dcterms:created>
  <dc:creator>User</dc:creator>
  <cp:lastModifiedBy>蒋静思</cp:lastModifiedBy>
  <cp:lastPrinted>2022-11-08T07:47:44Z</cp:lastPrinted>
  <dcterms:modified xsi:type="dcterms:W3CDTF">2022-11-08T07:48:05Z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